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337" w:type="dxa"/>
        <w:tblInd w:w="96" w:type="dxa"/>
        <w:tblLayout w:type="fixed"/>
        <w:tblCellMar>
          <w:top w:w="0" w:type="dxa"/>
          <w:left w:w="108" w:type="dxa"/>
          <w:bottom w:w="0" w:type="dxa"/>
          <w:right w:w="108" w:type="dxa"/>
        </w:tblCellMar>
      </w:tblPr>
      <w:tblGrid>
        <w:gridCol w:w="436"/>
        <w:gridCol w:w="1196"/>
        <w:gridCol w:w="676"/>
        <w:gridCol w:w="6832"/>
        <w:gridCol w:w="772"/>
        <w:gridCol w:w="1260"/>
        <w:gridCol w:w="1260"/>
        <w:gridCol w:w="905"/>
      </w:tblGrid>
      <w:tr>
        <w:tblPrEx>
          <w:tblCellMar>
            <w:top w:w="0" w:type="dxa"/>
            <w:left w:w="108" w:type="dxa"/>
            <w:bottom w:w="0" w:type="dxa"/>
            <w:right w:w="108" w:type="dxa"/>
          </w:tblCellMar>
        </w:tblPrEx>
        <w:trPr>
          <w:trHeight w:val="1380" w:hRule="atLeast"/>
        </w:trPr>
        <w:tc>
          <w:tcPr>
            <w:tcW w:w="12432" w:type="dxa"/>
            <w:gridSpan w:val="7"/>
            <w:tcBorders>
              <w:top w:val="nil"/>
              <w:left w:val="nil"/>
              <w:bottom w:val="single" w:color="auto" w:sz="4" w:space="0"/>
              <w:right w:val="nil"/>
            </w:tcBorders>
            <w:noWrap w:val="0"/>
            <w:vAlign w:val="center"/>
          </w:tcPr>
          <w:p>
            <w:pPr>
              <w:widowControl/>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附件：</w:t>
            </w:r>
          </w:p>
          <w:p>
            <w:pPr>
              <w:widowControl/>
              <w:jc w:val="center"/>
              <w:rPr>
                <w:rFonts w:hint="eastAsia" w:ascii="方正小标宋简体" w:hAnsi="宋体" w:eastAsia="方正小标宋简体" w:cs="宋体"/>
                <w:b/>
                <w:bCs/>
                <w:kern w:val="0"/>
                <w:sz w:val="44"/>
                <w:szCs w:val="44"/>
              </w:rPr>
            </w:pPr>
            <w:r>
              <w:rPr>
                <w:rFonts w:hint="eastAsia" w:ascii="方正小标宋简体" w:hAnsi="宋体" w:eastAsia="方正小标宋简体" w:cs="宋体"/>
                <w:b/>
                <w:bCs/>
                <w:kern w:val="0"/>
                <w:sz w:val="44"/>
                <w:szCs w:val="44"/>
              </w:rPr>
              <w:t>永安市信访局权责清单</w:t>
            </w:r>
          </w:p>
        </w:tc>
        <w:tc>
          <w:tcPr>
            <w:tcW w:w="905" w:type="dxa"/>
            <w:tcBorders>
              <w:top w:val="nil"/>
              <w:left w:val="nil"/>
              <w:bottom w:val="single" w:color="auto" w:sz="4" w:space="0"/>
              <w:right w:val="nil"/>
            </w:tcBorders>
            <w:noWrap w:val="0"/>
            <w:vAlign w:val="top"/>
          </w:tcPr>
          <w:p>
            <w:pPr>
              <w:widowControl/>
              <w:rPr>
                <w:rFonts w:hint="eastAsia" w:ascii="华文中宋" w:hAnsi="宋体" w:eastAsia="华文中宋" w:cs="宋体"/>
                <w:b/>
                <w:bCs/>
                <w:kern w:val="0"/>
              </w:rPr>
            </w:pPr>
          </w:p>
        </w:tc>
      </w:tr>
      <w:tr>
        <w:tblPrEx>
          <w:tblCellMar>
            <w:top w:w="0" w:type="dxa"/>
            <w:left w:w="108" w:type="dxa"/>
            <w:bottom w:w="0" w:type="dxa"/>
            <w:right w:w="108" w:type="dxa"/>
          </w:tblCellMar>
        </w:tblPrEx>
        <w:trPr>
          <w:trHeight w:val="456"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119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权责事项</w:t>
            </w:r>
          </w:p>
        </w:tc>
        <w:tc>
          <w:tcPr>
            <w:tcW w:w="67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子项</w:t>
            </w:r>
          </w:p>
        </w:tc>
        <w:tc>
          <w:tcPr>
            <w:tcW w:w="683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设定依据</w:t>
            </w:r>
          </w:p>
        </w:tc>
        <w:tc>
          <w:tcPr>
            <w:tcW w:w="77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事项</w:t>
            </w:r>
          </w:p>
          <w:p>
            <w:pPr>
              <w:widowControl/>
              <w:jc w:val="center"/>
              <w:rPr>
                <w:rFonts w:ascii="宋体" w:hAnsi="宋体" w:cs="宋体"/>
                <w:kern w:val="0"/>
                <w:sz w:val="18"/>
                <w:szCs w:val="18"/>
              </w:rPr>
            </w:pPr>
            <w:r>
              <w:rPr>
                <w:rFonts w:hint="eastAsia" w:ascii="宋体" w:hAnsi="宋体" w:cs="宋体"/>
                <w:kern w:val="0"/>
                <w:sz w:val="18"/>
                <w:szCs w:val="18"/>
              </w:rPr>
              <w:t>类型</w:t>
            </w:r>
          </w:p>
        </w:tc>
        <w:tc>
          <w:tcPr>
            <w:tcW w:w="12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实施主体和责任主体</w:t>
            </w:r>
          </w:p>
        </w:tc>
        <w:tc>
          <w:tcPr>
            <w:tcW w:w="12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追责情形</w:t>
            </w:r>
          </w:p>
        </w:tc>
        <w:tc>
          <w:tcPr>
            <w:tcW w:w="90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2415"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9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信访事项的受理、交办、转送</w:t>
            </w:r>
          </w:p>
        </w:tc>
        <w:tc>
          <w:tcPr>
            <w:tcW w:w="67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83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国务院《信访条例》第一章第六条:县级以上人民政府应当设立信访工作机构；县级以上人民政府工作部门及乡、镇人民政府应当按照有利工作、方便信访人的原则，确定负责信访工作的机构（以下简称信访工作机构）或者人员，具体负责信访工作。县级以上人民政府信访工作机构是本级人民政府负责信访工作的行政机构，履行下列职责：（一）受理、交办、转送信访人提出的信访事项；（二）承办上级和本级人民政府交由处理的信访事项；（三）协调处理重要信访事项；（四）督促检查信访事项的处理；（五）研究、分析信访情况，开展调查研究，及时向本级人民政府提出完善政策和改进工作的建议；（六）对本级人民政府其他工作部门和下级人民政府信访工作机构的信访工作进行指导。</w:t>
            </w:r>
          </w:p>
        </w:tc>
        <w:tc>
          <w:tcPr>
            <w:tcW w:w="77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其他行政</w:t>
            </w:r>
            <w:bookmarkStart w:id="0" w:name="_GoBack"/>
            <w:bookmarkEnd w:id="0"/>
            <w:r>
              <w:rPr>
                <w:rFonts w:hint="eastAsia" w:ascii="宋体" w:hAnsi="宋体" w:cs="宋体"/>
                <w:kern w:val="0"/>
                <w:sz w:val="18"/>
                <w:szCs w:val="18"/>
                <w:lang w:eastAsia="zh-CN"/>
              </w:rPr>
              <w:t>权力</w:t>
            </w:r>
          </w:p>
        </w:tc>
        <w:tc>
          <w:tcPr>
            <w:tcW w:w="12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接访办信科</w:t>
            </w:r>
          </w:p>
        </w:tc>
        <w:tc>
          <w:tcPr>
            <w:tcW w:w="126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收到的信访事项应当登记、转送、交办而未按规定登记、转送、交办的。</w:t>
            </w:r>
          </w:p>
        </w:tc>
        <w:tc>
          <w:tcPr>
            <w:tcW w:w="905" w:type="dxa"/>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kern w:val="0"/>
                <w:sz w:val="18"/>
                <w:szCs w:val="18"/>
              </w:rPr>
            </w:pPr>
          </w:p>
        </w:tc>
      </w:tr>
      <w:tr>
        <w:tblPrEx>
          <w:tblCellMar>
            <w:top w:w="0" w:type="dxa"/>
            <w:left w:w="108" w:type="dxa"/>
            <w:bottom w:w="0" w:type="dxa"/>
            <w:right w:w="108" w:type="dxa"/>
          </w:tblCellMar>
        </w:tblPrEx>
        <w:trPr>
          <w:trHeight w:val="2304"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9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信访事项办理情况的督查、督办</w:t>
            </w:r>
          </w:p>
        </w:tc>
        <w:tc>
          <w:tcPr>
            <w:tcW w:w="67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83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国务院《信访条例》第一章第六条:县级以上人民政府应当设立信访工作机构；县级以上人民政府工作部门及乡、镇人民政府应当按照有利工作、方便信访人的原则，确定负责信访工作的机构（以下简称信访工作机构）或者人员，具体负责信访工作。县级以上人民政府信访工作机构是本级人民政府负责信访工作的行政机构，履行下列职责：（一）受理、交办、转送信访人提出的信访事项；（二）承办上级和本级人民政府交由处理的信访事项；（三）协调处理重要信访事项；（四）督促检查信访事项的处理；（五）研究、分析信访情况，开展调查研究，及时向本级人民政府提出完善政策和改进工作的建议；（六）对本级人民政府其他工作部门和下级人民政府信访工作机构的信访工作进行指导。</w:t>
            </w:r>
          </w:p>
          <w:p>
            <w:pPr>
              <w:widowControl/>
              <w:jc w:val="left"/>
              <w:rPr>
                <w:rFonts w:ascii="宋体" w:hAnsi="宋体" w:cs="宋体"/>
                <w:kern w:val="0"/>
                <w:sz w:val="18"/>
                <w:szCs w:val="18"/>
              </w:rPr>
            </w:pPr>
          </w:p>
        </w:tc>
        <w:tc>
          <w:tcPr>
            <w:tcW w:w="77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其他行政</w:t>
            </w:r>
            <w:r>
              <w:rPr>
                <w:rFonts w:hint="eastAsia" w:ascii="宋体" w:hAnsi="宋体" w:cs="宋体"/>
                <w:kern w:val="0"/>
                <w:sz w:val="18"/>
                <w:szCs w:val="18"/>
                <w:lang w:eastAsia="zh-CN"/>
              </w:rPr>
              <w:t>权力</w:t>
            </w:r>
          </w:p>
        </w:tc>
        <w:tc>
          <w:tcPr>
            <w:tcW w:w="12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接访办信科督查科</w:t>
            </w:r>
          </w:p>
        </w:tc>
        <w:tc>
          <w:tcPr>
            <w:tcW w:w="1260" w:type="dxa"/>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对应当进行督办的信访事项未进行督办，导致侵害信访人合法权益的。</w:t>
            </w:r>
          </w:p>
        </w:tc>
        <w:tc>
          <w:tcPr>
            <w:tcW w:w="905"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18"/>
                <w:szCs w:val="18"/>
              </w:rPr>
            </w:pPr>
          </w:p>
        </w:tc>
      </w:tr>
      <w:tr>
        <w:tblPrEx>
          <w:tblCellMar>
            <w:top w:w="0" w:type="dxa"/>
            <w:left w:w="108" w:type="dxa"/>
            <w:bottom w:w="0" w:type="dxa"/>
            <w:right w:w="108" w:type="dxa"/>
          </w:tblCellMar>
        </w:tblPrEx>
        <w:trPr>
          <w:trHeight w:val="2370" w:hRule="atLeast"/>
        </w:trPr>
        <w:tc>
          <w:tcPr>
            <w:tcW w:w="436" w:type="dxa"/>
            <w:tcBorders>
              <w:top w:val="nil"/>
              <w:left w:val="single" w:color="auto" w:sz="4" w:space="0"/>
              <w:bottom w:val="nil"/>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196" w:type="dxa"/>
            <w:tcBorders>
              <w:top w:val="nil"/>
              <w:left w:val="nil"/>
              <w:bottom w:val="nil"/>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重要信访事项的协调处理</w:t>
            </w:r>
          </w:p>
        </w:tc>
        <w:tc>
          <w:tcPr>
            <w:tcW w:w="676" w:type="dxa"/>
            <w:tcBorders>
              <w:top w:val="nil"/>
              <w:left w:val="nil"/>
              <w:bottom w:val="nil"/>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832" w:type="dxa"/>
            <w:tcBorders>
              <w:top w:val="nil"/>
              <w:left w:val="nil"/>
              <w:bottom w:val="nil"/>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国务院《信访条例》第一章第六条:县级以上人民政府应当设立信访工作机构；县级以上人民政府工作部门及乡、镇人民政府应当按照有利工作、方便信访人的原则，确定负责信访工作的机构（以下简称信访工作机构）或者人员，具体负责信访工作。县级以上人民政府信访工作机构是本级人民政府负责信访工作的行政机构，履行下列职责：（一）受理、交办、转送信访人提出的信访事项；（二）承办上级和本级人民政府交由处理的信访事项；（三）协调处理重要信访事项；（四）督促检查信访事项的处理；（五）研究、分析信访情况，开展调查研究，及时向本级人民政府提出完善政策和改进工作的建议；（六）对本级人民政府其他工作部门和下级人民政府信访工作机构的信访工作进行指导。</w:t>
            </w:r>
          </w:p>
        </w:tc>
        <w:tc>
          <w:tcPr>
            <w:tcW w:w="772" w:type="dxa"/>
            <w:tcBorders>
              <w:top w:val="nil"/>
              <w:left w:val="nil"/>
              <w:bottom w:val="nil"/>
              <w:right w:val="single" w:color="auto" w:sz="4" w:space="0"/>
            </w:tcBorders>
            <w:noWrap w:val="0"/>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其他行政</w:t>
            </w:r>
            <w:r>
              <w:rPr>
                <w:rFonts w:hint="eastAsia" w:ascii="宋体" w:hAnsi="宋体" w:cs="宋体"/>
                <w:kern w:val="0"/>
                <w:sz w:val="18"/>
                <w:szCs w:val="18"/>
                <w:lang w:eastAsia="zh-CN"/>
              </w:rPr>
              <w:t>权力</w:t>
            </w:r>
          </w:p>
        </w:tc>
        <w:tc>
          <w:tcPr>
            <w:tcW w:w="1260" w:type="dxa"/>
            <w:tcBorders>
              <w:top w:val="nil"/>
              <w:left w:val="nil"/>
              <w:bottom w:val="nil"/>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办公室    督查科</w:t>
            </w:r>
          </w:p>
        </w:tc>
        <w:tc>
          <w:tcPr>
            <w:tcW w:w="1260" w:type="dxa"/>
            <w:tcBorders>
              <w:top w:val="nil"/>
              <w:left w:val="nil"/>
              <w:bottom w:val="nil"/>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1.超越或者滥用职权，侵害信访人合法权益的；</w:t>
            </w:r>
            <w:r>
              <w:rPr>
                <w:rFonts w:hint="eastAsia" w:ascii="宋体" w:hAnsi="宋体" w:cs="宋体"/>
                <w:kern w:val="0"/>
                <w:sz w:val="18"/>
                <w:szCs w:val="18"/>
              </w:rPr>
              <w:br w:type="textWrapping"/>
            </w:r>
            <w:r>
              <w:rPr>
                <w:rFonts w:hint="eastAsia" w:ascii="宋体" w:hAnsi="宋体" w:cs="宋体"/>
                <w:kern w:val="0"/>
                <w:sz w:val="18"/>
                <w:szCs w:val="18"/>
              </w:rPr>
              <w:t>2.行政不作为导致侵害信访人合法权益的。</w:t>
            </w:r>
          </w:p>
        </w:tc>
        <w:tc>
          <w:tcPr>
            <w:tcW w:w="905" w:type="dxa"/>
            <w:tcBorders>
              <w:top w:val="nil"/>
              <w:left w:val="nil"/>
              <w:bottom w:val="nil"/>
              <w:right w:val="single" w:color="auto" w:sz="4" w:space="0"/>
            </w:tcBorders>
            <w:noWrap w:val="0"/>
            <w:vAlign w:val="top"/>
          </w:tcPr>
          <w:p>
            <w:pPr>
              <w:widowControl/>
              <w:rPr>
                <w:rFonts w:hint="eastAsia" w:ascii="宋体" w:hAnsi="宋体" w:cs="宋体"/>
                <w:kern w:val="0"/>
                <w:sz w:val="18"/>
                <w:szCs w:val="18"/>
              </w:rPr>
            </w:pPr>
          </w:p>
        </w:tc>
      </w:tr>
      <w:tr>
        <w:tblPrEx>
          <w:tblCellMar>
            <w:top w:w="0" w:type="dxa"/>
            <w:left w:w="108" w:type="dxa"/>
            <w:bottom w:w="0" w:type="dxa"/>
            <w:right w:w="108" w:type="dxa"/>
          </w:tblCellMar>
        </w:tblPrEx>
        <w:trPr>
          <w:trHeight w:val="3234"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9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“三项”建议权（提出改进工作建议、完善政策解决问题建议、给予行政处分建议）</w:t>
            </w:r>
          </w:p>
        </w:tc>
        <w:tc>
          <w:tcPr>
            <w:tcW w:w="6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832"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国务院《信访条例》第三十六条 县级以上人民政府信访工作机构发现有关行政机关有下列情形之一的，应当及时督办，并提出改进建议： （一）无正当理由未按规定的办理期限办结信访事项的；（二）未按规定反馈信访事项办理结果的；（三）未按规定程序办理信访事项的；（四）办理信访事项推诿、敷衍、拖延的；（五）不执行信访处理意见的；（六）其他需要督办的情形。收到改进建议的行政机关应当在３０日内书面反馈情况；未采纳改进建议的，应当说明理由。第三十七条 县级以上人民政府信访工作机构对于信访人反映的有关政策性问题，应当及时向本级人民政府报告，并提出完善政策、解决问题的建议。第三十八条 县级以上人民政府信访工作机构对在信访工作中推诿、敷衍、拖延、弄虚作假造成严重后果的行政机关工作人员，可以向有关行政机关提出给予行政处分的建议。</w:t>
            </w:r>
          </w:p>
        </w:tc>
        <w:tc>
          <w:tcPr>
            <w:tcW w:w="77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其他行政</w:t>
            </w:r>
            <w:r>
              <w:rPr>
                <w:rFonts w:hint="eastAsia" w:ascii="宋体" w:hAnsi="宋体" w:cs="宋体"/>
                <w:kern w:val="0"/>
                <w:sz w:val="18"/>
                <w:szCs w:val="18"/>
                <w:lang w:eastAsia="zh-CN"/>
              </w:rPr>
              <w:t>权力</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督查科</w:t>
            </w:r>
          </w:p>
        </w:tc>
        <w:tc>
          <w:tcPr>
            <w:tcW w:w="126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1.不顾事实，滥用职权违规使用“三项建议权”的；</w:t>
            </w:r>
            <w:r>
              <w:rPr>
                <w:rFonts w:hint="eastAsia" w:ascii="宋体" w:hAnsi="宋体" w:cs="宋体"/>
                <w:kern w:val="0"/>
                <w:sz w:val="18"/>
                <w:szCs w:val="18"/>
              </w:rPr>
              <w:br w:type="textWrapping"/>
            </w:r>
            <w:r>
              <w:rPr>
                <w:rFonts w:hint="eastAsia" w:ascii="宋体" w:hAnsi="宋体" w:cs="宋体"/>
                <w:kern w:val="0"/>
                <w:sz w:val="18"/>
                <w:szCs w:val="18"/>
              </w:rPr>
              <w:t>2.工作中徇私舞弊造成不良后果的；</w:t>
            </w:r>
            <w:r>
              <w:rPr>
                <w:rFonts w:hint="eastAsia" w:ascii="宋体" w:hAnsi="宋体" w:cs="宋体"/>
                <w:kern w:val="0"/>
                <w:sz w:val="18"/>
                <w:szCs w:val="18"/>
              </w:rPr>
              <w:br w:type="textWrapping"/>
            </w:r>
            <w:r>
              <w:rPr>
                <w:rFonts w:hint="eastAsia" w:ascii="宋体" w:hAnsi="宋体" w:cs="宋体"/>
                <w:kern w:val="0"/>
                <w:sz w:val="18"/>
                <w:szCs w:val="18"/>
              </w:rPr>
              <w:t>3.其他违反法律法规的行为。</w:t>
            </w:r>
          </w:p>
        </w:tc>
        <w:tc>
          <w:tcPr>
            <w:tcW w:w="905" w:type="dxa"/>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kern w:val="0"/>
                <w:sz w:val="18"/>
                <w:szCs w:val="18"/>
              </w:rPr>
            </w:pPr>
          </w:p>
        </w:tc>
      </w:tr>
      <w:tr>
        <w:tblPrEx>
          <w:tblCellMar>
            <w:top w:w="0" w:type="dxa"/>
            <w:left w:w="108" w:type="dxa"/>
            <w:bottom w:w="0" w:type="dxa"/>
            <w:right w:w="108" w:type="dxa"/>
          </w:tblCellMar>
        </w:tblPrEx>
        <w:trPr>
          <w:trHeight w:val="4219"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196"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推进诉访分离、依法分类处理信访诉求等制度的实行。代市政府受理办理信访人向市政府提出的复查信访事项</w:t>
            </w:r>
          </w:p>
        </w:tc>
        <w:tc>
          <w:tcPr>
            <w:tcW w:w="67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83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1.国务院《信访条例》第三十四条:信访人对行政机关作出的信访事项处理意见不服的，可以自收到书面答复之日起30日内请求原办理行政机关的上一级行政机关复查。</w:t>
            </w:r>
            <w:r>
              <w:rPr>
                <w:rFonts w:hint="eastAsia" w:ascii="宋体" w:hAnsi="宋体" w:cs="宋体"/>
                <w:kern w:val="0"/>
                <w:sz w:val="18"/>
                <w:szCs w:val="18"/>
              </w:rPr>
              <w:br w:type="textWrapping"/>
            </w:r>
            <w:r>
              <w:rPr>
                <w:rFonts w:hint="eastAsia" w:ascii="宋体" w:hAnsi="宋体" w:cs="宋体"/>
                <w:kern w:val="0"/>
                <w:sz w:val="18"/>
                <w:szCs w:val="18"/>
              </w:rPr>
              <w:t>2.《中共中央办公厅 国务院办公厅印发&lt;关于进一步加强信访法治化建设的意见&gt;的通知》(中办办发〔2017〕51号)总体要求。</w:t>
            </w:r>
            <w:r>
              <w:rPr>
                <w:rFonts w:hint="eastAsia" w:ascii="宋体" w:hAnsi="宋体" w:cs="宋体"/>
                <w:kern w:val="0"/>
                <w:sz w:val="18"/>
                <w:szCs w:val="18"/>
              </w:rPr>
              <w:br w:type="textWrapping"/>
            </w:r>
            <w:r>
              <w:rPr>
                <w:rFonts w:hint="eastAsia" w:ascii="宋体" w:hAnsi="宋体" w:cs="宋体"/>
                <w:kern w:val="0"/>
                <w:sz w:val="18"/>
                <w:szCs w:val="18"/>
              </w:rPr>
              <w:t>3.《中共永安市委办公室  永安市人民政府办公室关于印发&lt;安市人民政府信访局职能配置、内设机构和人员编制规&gt;的通知》(永委办发〔2019〕42号)主要职第（七）：推进诉访分离、依法分类处理信访诉求等制度的实行，加强信访法治宣传教育，督促信访法律法规及规章的实施。（八）：承担由市政府复查的信访事项的组织、协调工作。代市政府受理、办理信访人向市政府提出的复查信访事项。</w:t>
            </w:r>
          </w:p>
        </w:tc>
        <w:tc>
          <w:tcPr>
            <w:tcW w:w="77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其他行政</w:t>
            </w:r>
            <w:r>
              <w:rPr>
                <w:rFonts w:hint="eastAsia" w:ascii="宋体" w:hAnsi="宋体" w:cs="宋体"/>
                <w:kern w:val="0"/>
                <w:sz w:val="18"/>
                <w:szCs w:val="18"/>
                <w:lang w:eastAsia="zh-CN"/>
              </w:rPr>
              <w:t>权力</w:t>
            </w:r>
          </w:p>
        </w:tc>
        <w:tc>
          <w:tcPr>
            <w:tcW w:w="12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接访办信科</w:t>
            </w:r>
          </w:p>
        </w:tc>
        <w:tc>
          <w:tcPr>
            <w:tcW w:w="1260" w:type="dxa"/>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适用法律、法规错误，严重侵害信访人合法权益的。</w:t>
            </w:r>
          </w:p>
        </w:tc>
        <w:tc>
          <w:tcPr>
            <w:tcW w:w="905" w:type="dxa"/>
            <w:tcBorders>
              <w:top w:val="nil"/>
              <w:left w:val="nil"/>
              <w:bottom w:val="single" w:color="auto" w:sz="4" w:space="0"/>
              <w:right w:val="single" w:color="auto" w:sz="4" w:space="0"/>
            </w:tcBorders>
            <w:noWrap w:val="0"/>
            <w:vAlign w:val="top"/>
          </w:tcPr>
          <w:p>
            <w:pPr>
              <w:widowControl/>
              <w:rPr>
                <w:rFonts w:hint="eastAsia" w:ascii="宋体" w:hAnsi="宋体" w:cs="宋体"/>
                <w:kern w:val="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OTM5NGY2YzJkZjRjNDlmMDIzNjNjMGE1N2E3MGQifQ=="/>
  </w:docVars>
  <w:rsids>
    <w:rsidRoot w:val="4E7E63E7"/>
    <w:rsid w:val="4E7E63E7"/>
    <w:rsid w:val="5BC8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1986</Words>
  <Characters>2003</Characters>
  <Lines>0</Lines>
  <Paragraphs>0</Paragraphs>
  <TotalTime>2</TotalTime>
  <ScaleCrop>false</ScaleCrop>
  <LinksUpToDate>false</LinksUpToDate>
  <CharactersWithSpaces>2019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2020-04-20T07:50:00Z</dcterms:created>
  <dc:creator>Administrator</dc:creator>
  <cp:lastModifiedBy>Administrator</cp:lastModifiedBy>
  <dcterms:modified xsi:type="dcterms:W3CDTF">2022-09-01T09:02:19Z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EABB815C8EB543B4903A8C226EC5EE09</vt:lpwstr>
  </property>
</Properties>
</file>