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永安市水坝路199-219号一层店面招租公告</w:t>
      </w:r>
    </w:p>
    <w:p>
      <w:pPr>
        <w:numPr>
          <w:ilvl w:val="0"/>
          <w:numId w:val="0"/>
        </w:numPr>
        <w:jc w:val="both"/>
        <w:rPr>
          <w:rFonts w:hint="eastAsia" w:ascii="宋体" w:hAnsi="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永安市水坝路199-219号一层店面概况：</w:t>
      </w:r>
      <w:r>
        <w:rPr>
          <w:rFonts w:hint="eastAsia" w:ascii="宋体" w:hAnsi="宋体" w:cs="宋体"/>
          <w:b w:val="0"/>
          <w:bCs w:val="0"/>
          <w:color w:val="auto"/>
          <w:sz w:val="28"/>
          <w:szCs w:val="28"/>
          <w:highlight w:val="none"/>
          <w:u w:val="single"/>
          <w:lang w:val="en-US" w:eastAsia="zh-CN"/>
        </w:rPr>
        <w:t>该场所产权归属永安市水产供销公司，位于永安市水坝路199-219号一层，面积38.6㎡，配电380V，框架结构，现空置，无限制经营，图片附后。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3500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19</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cs="宋体"/>
          <w:b w:val="0"/>
          <w:bCs w:val="0"/>
          <w:color w:val="auto"/>
          <w:sz w:val="28"/>
          <w:szCs w:val="28"/>
          <w:u w:val="single"/>
          <w:lang w:val="en-US" w:eastAsia="zh-CN"/>
        </w:rPr>
      </w:pP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五）看房时间及</w:t>
      </w:r>
      <w:r>
        <w:rPr>
          <w:rFonts w:hint="eastAsia" w:ascii="宋体" w:hAnsi="宋体" w:eastAsia="宋体" w:cs="宋体"/>
          <w:b w:val="0"/>
          <w:bCs w:val="0"/>
          <w:color w:val="auto"/>
          <w:sz w:val="28"/>
          <w:szCs w:val="28"/>
          <w:highlight w:val="none"/>
          <w:u w:val="none"/>
          <w:lang w:val="en-US" w:eastAsia="zh-CN"/>
        </w:rPr>
        <w:t>联系人</w:t>
      </w:r>
      <w:r>
        <w:rPr>
          <w:rFonts w:hint="eastAsia" w:ascii="宋体" w:hAnsi="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08</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 xml:space="preserve"> 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w:t>
      </w:r>
      <w:r>
        <w:rPr>
          <w:rFonts w:hint="eastAsia" w:ascii="宋体" w:hAnsi="宋体" w:cs="宋体"/>
          <w:b w:val="0"/>
          <w:bCs w:val="0"/>
          <w:color w:val="auto"/>
          <w:sz w:val="28"/>
          <w:szCs w:val="28"/>
          <w:u w:val="single"/>
          <w:lang w:val="en-US" w:eastAsia="zh-CN"/>
        </w:rPr>
        <w:t>分；赖卿 13107911911。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22</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10500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3"/>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0</w:t>
      </w:r>
      <w:bookmarkStart w:id="0" w:name="_GoBack"/>
      <w:bookmarkEnd w:id="0"/>
      <w:r>
        <w:rPr>
          <w:rFonts w:hint="eastAsia" w:ascii="宋体" w:hAnsi="宋体" w:cs="宋体"/>
          <w:b w:val="0"/>
          <w:bCs w:val="0"/>
          <w:color w:val="auto"/>
          <w:sz w:val="28"/>
          <w:szCs w:val="28"/>
          <w:u w:val="single"/>
          <w:lang w:val="en-US" w:eastAsia="zh-CN"/>
        </w:rPr>
        <w:t>9</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21</w:t>
      </w:r>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6"/>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6"/>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6"/>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6"/>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6"/>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6"/>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6"/>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6"/>
        <w:rPr>
          <w:rFonts w:hint="eastAsia" w:ascii="宋体" w:hAnsi="宋体" w:eastAsia="宋体" w:cs="宋体"/>
          <w:b w:val="0"/>
          <w:bCs w:val="0"/>
          <w:color w:val="auto"/>
          <w:kern w:val="28"/>
          <w:sz w:val="28"/>
          <w:szCs w:val="28"/>
          <w:highlight w:val="none"/>
          <w:lang w:val="en-US" w:eastAsia="zh-CN" w:bidi="ar-SA"/>
        </w:rPr>
      </w:pPr>
    </w:p>
    <w:p>
      <w:pPr>
        <w:pStyle w:val="6"/>
        <w:rPr>
          <w:rFonts w:ascii="黑体" w:hAnsi="黑体" w:eastAsia="黑体" w:cs="黑体"/>
          <w:sz w:val="28"/>
          <w:szCs w:val="28"/>
        </w:rPr>
      </w:pPr>
    </w:p>
    <w:p>
      <w:pPr>
        <w:pStyle w:val="6"/>
        <w:rPr>
          <w:rFonts w:hint="eastAsia" w:ascii="黑体" w:hAnsi="黑体" w:eastAsia="黑体" w:cs="黑体"/>
          <w:sz w:val="28"/>
          <w:szCs w:val="28"/>
          <w:lang w:val="en-US" w:eastAsia="zh-CN"/>
        </w:rPr>
      </w:pPr>
    </w:p>
    <w:p>
      <w:pPr>
        <w:pStyle w:val="6"/>
      </w:pPr>
    </w:p>
    <w:p>
      <w:pPr>
        <w:rPr>
          <w:rFonts w:hint="eastAsia" w:ascii="黑体" w:hAnsi="黑体" w:eastAsia="黑体" w:cs="黑体"/>
          <w:sz w:val="28"/>
          <w:szCs w:val="28"/>
        </w:rPr>
      </w:pPr>
      <w:r>
        <w:rPr>
          <w:rFonts w:hint="eastAsia" w:ascii="黑体" w:hAnsi="黑体" w:eastAsia="黑体" w:cs="黑体"/>
          <w:sz w:val="28"/>
          <w:szCs w:val="28"/>
        </w:rPr>
        <w:drawing>
          <wp:inline distT="0" distB="0" distL="0" distR="0">
            <wp:extent cx="4861560" cy="3646170"/>
            <wp:effectExtent l="0" t="0" r="15240" b="1143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62928" cy="3647489"/>
                    </a:xfrm>
                    <a:prstGeom prst="rect">
                      <a:avLst/>
                    </a:prstGeom>
                  </pic:spPr>
                </pic:pic>
              </a:graphicData>
            </a:graphic>
          </wp:inline>
        </w:drawing>
      </w:r>
      <w:r>
        <w:rPr>
          <w:rFonts w:hint="eastAsia" w:ascii="黑体" w:hAnsi="黑体" w:eastAsia="黑体" w:cs="黑体"/>
          <w:sz w:val="28"/>
          <w:szCs w:val="28"/>
        </w:rPr>
        <w:drawing>
          <wp:inline distT="0" distB="0" distL="0" distR="0">
            <wp:extent cx="4823460" cy="3617595"/>
            <wp:effectExtent l="0" t="0" r="1524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27207" cy="3620695"/>
                    </a:xfrm>
                    <a:prstGeom prst="rect">
                      <a:avLst/>
                    </a:prstGeom>
                  </pic:spPr>
                </pic:pic>
              </a:graphicData>
            </a:graphic>
          </wp:inline>
        </w:drawing>
      </w:r>
    </w:p>
    <w:p>
      <w:pPr>
        <w:rPr>
          <w:rFonts w:ascii="黑体" w:hAnsi="黑体" w:eastAsia="黑体" w:cs="黑体"/>
          <w:sz w:val="28"/>
          <w:szCs w:val="28"/>
        </w:rPr>
      </w:pPr>
    </w:p>
    <w:p>
      <w:pPr>
        <w:pStyle w:val="6"/>
      </w:pPr>
    </w:p>
    <w:p>
      <w:pPr>
        <w:pStyle w:val="6"/>
      </w:pPr>
    </w:p>
    <w:p>
      <w:pPr>
        <w:pStyle w:val="6"/>
      </w:pPr>
    </w:p>
    <w:p>
      <w:pPr>
        <w:pStyle w:val="6"/>
      </w:pPr>
    </w:p>
    <w:p>
      <w:pPr>
        <w:pStyle w:val="6"/>
      </w:pPr>
    </w:p>
    <w:p>
      <w:pPr>
        <w:pStyle w:val="6"/>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6"/>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6"/>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永安市水坝路199-219号一层店面房屋报价表</w:t>
      </w:r>
    </w:p>
    <w:tbl>
      <w:tblPr>
        <w:tblStyle w:val="4"/>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6"/>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kern w:val="2"/>
          <w:sz w:val="28"/>
          <w:szCs w:val="28"/>
          <w:highlight w:val="none"/>
          <w:u w:val="single"/>
          <w:lang w:val="en-US" w:eastAsia="zh-CN" w:bidi="ar-SA"/>
        </w:rPr>
        <w:t>永安市水坝路199-219号一层店面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6"/>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6"/>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u w:val="single"/>
          <w:lang w:val="en-US" w:eastAsia="zh-CN" w:bidi="ar-SA"/>
        </w:rPr>
        <w:t>永安市水坝路199-219号一层店面</w:t>
      </w:r>
      <w:r>
        <w:rPr>
          <w:rFonts w:hint="eastAsia" w:ascii="宋体" w:hAnsi="宋体" w:eastAsia="宋体" w:cs="宋体"/>
          <w:b w:val="0"/>
          <w:bCs w:val="0"/>
          <w:color w:val="auto"/>
          <w:sz w:val="28"/>
          <w:szCs w:val="28"/>
          <w:highlight w:val="none"/>
          <w:lang w:val="en-US" w:eastAsia="zh-CN"/>
        </w:rPr>
        <w:t>房屋</w:t>
      </w:r>
      <w:r>
        <w:rPr>
          <w:rFonts w:hint="eastAsia" w:ascii="宋体" w:hAnsi="宋体" w:eastAsia="宋体" w:cs="宋体"/>
          <w:b w:val="0"/>
          <w:bCs w:val="0"/>
          <w:color w:val="auto"/>
          <w:kern w:val="2"/>
          <w:sz w:val="28"/>
          <w:szCs w:val="28"/>
          <w:highlight w:val="none"/>
          <w:lang w:val="en-US" w:eastAsia="zh-CN" w:bidi="ar-SA"/>
        </w:rPr>
        <w:t>赁报价表</w:t>
      </w:r>
    </w:p>
    <w:tbl>
      <w:tblPr>
        <w:tblStyle w:val="4"/>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6"/>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6"/>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kern w:val="2"/>
          <w:sz w:val="28"/>
          <w:szCs w:val="28"/>
          <w:highlight w:val="none"/>
          <w:u w:val="single"/>
          <w:lang w:val="en-US" w:eastAsia="zh-CN" w:bidi="ar-SA"/>
        </w:rPr>
        <w:t>永安市水坝路199-219号一层店面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rPr>
          <w:rFonts w:hint="eastAsia" w:ascii="宋体" w:hAnsi="宋体" w:eastAsia="宋体" w:cs="宋体"/>
          <w:b w:val="0"/>
          <w:bCs w:val="0"/>
          <w:color w:val="auto"/>
          <w:highlight w:val="none"/>
          <w:lang w:eastAsia="zh-CN"/>
        </w:rPr>
      </w:pPr>
    </w:p>
    <w:p>
      <w:pPr>
        <w:pStyle w:val="6"/>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2"/>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2"/>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r>
        <w:rPr>
          <w:rFonts w:hint="eastAsia" w:ascii="宋体" w:hAnsi="宋体" w:eastAsia="宋体" w:cs="宋体"/>
          <w:b w:val="0"/>
          <w:bCs w:val="0"/>
          <w:color w:val="auto"/>
          <w:kern w:val="2"/>
          <w:sz w:val="28"/>
          <w:szCs w:val="28"/>
          <w:highlight w:val="none"/>
          <w:u w:val="none"/>
          <w:lang w:val="en-US" w:eastAsia="zh-CN" w:bidi="ar-SA"/>
        </w:rPr>
        <w:t> </w:t>
      </w:r>
    </w:p>
    <w:p>
      <w:pPr>
        <w:pStyle w:val="2"/>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kern w:val="2"/>
          <w:sz w:val="28"/>
          <w:szCs w:val="28"/>
          <w:highlight w:val="none"/>
          <w:u w:val="single"/>
          <w:lang w:val="en-US" w:eastAsia="zh-CN" w:bidi="ar-SA"/>
        </w:rPr>
        <w:t>永安市水坝路199-219号一层店面”</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2"/>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2"/>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2"/>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2"/>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6"/>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p>
      <w:pPr>
        <w:pStyle w:val="6"/>
        <w:rPr>
          <w:rFonts w:hint="eastAsia" w:ascii="宋体" w:hAnsi="宋体" w:eastAsia="宋体" w:cs="宋体"/>
          <w:b w:val="0"/>
          <w:bCs w:val="0"/>
          <w:color w:val="auto"/>
          <w:kern w:val="2"/>
          <w:sz w:val="32"/>
          <w:szCs w:val="32"/>
          <w:highlight w:val="none"/>
          <w:lang w:val="en-US" w:eastAsia="zh-CN" w:bidi="ar"/>
        </w:rPr>
      </w:pPr>
    </w:p>
    <w:tbl>
      <w:tblPr>
        <w:tblStyle w:val="3"/>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02580FE0"/>
    <w:rsid w:val="02BF5DDD"/>
    <w:rsid w:val="0CF9747C"/>
    <w:rsid w:val="0E842B25"/>
    <w:rsid w:val="168109F0"/>
    <w:rsid w:val="176F170F"/>
    <w:rsid w:val="1E7D62F0"/>
    <w:rsid w:val="2BB21EB7"/>
    <w:rsid w:val="2D68406F"/>
    <w:rsid w:val="2E481C2A"/>
    <w:rsid w:val="30022AB9"/>
    <w:rsid w:val="324078A7"/>
    <w:rsid w:val="348F4AFC"/>
    <w:rsid w:val="34F23170"/>
    <w:rsid w:val="39CE564E"/>
    <w:rsid w:val="3F9864E7"/>
    <w:rsid w:val="4F2533F4"/>
    <w:rsid w:val="54C97C94"/>
    <w:rsid w:val="57E80EA7"/>
    <w:rsid w:val="5C0229FD"/>
    <w:rsid w:val="5F2D50A3"/>
    <w:rsid w:val="61D537E6"/>
    <w:rsid w:val="66AD5C15"/>
    <w:rsid w:val="7395631E"/>
    <w:rsid w:val="79A10E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Fließtext"/>
    <w:basedOn w:val="1"/>
    <w:qFormat/>
    <w:uiPriority w:val="99"/>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3012</Words>
  <Characters>3217</Characters>
  <Lines>0</Lines>
  <Paragraphs>0</Paragraphs>
  <TotalTime>1</TotalTime>
  <ScaleCrop>false</ScaleCrop>
  <LinksUpToDate>false</LinksUpToDate>
  <CharactersWithSpaces>3724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cp:lastPrinted>2023-07-28T06:55:00Z</cp:lastPrinted>
  <dcterms:modified xsi:type="dcterms:W3CDTF">2023-09-06T10:34:16Z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