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color w:val="auto"/>
          <w:sz w:val="36"/>
          <w:szCs w:val="36"/>
        </w:rPr>
      </w:pPr>
      <w:r>
        <w:rPr>
          <w:rFonts w:hint="eastAsia" w:ascii="仿宋_GB2312" w:eastAsia="仿宋_GB2312"/>
          <w:b/>
          <w:color w:val="auto"/>
          <w:sz w:val="36"/>
          <w:szCs w:val="36"/>
        </w:rPr>
        <w:t>永安市201</w:t>
      </w:r>
      <w:r>
        <w:rPr>
          <w:rFonts w:hint="eastAsia" w:ascii="仿宋_GB2312" w:eastAsia="仿宋_GB2312"/>
          <w:b/>
          <w:color w:val="auto"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6"/>
          <w:szCs w:val="36"/>
        </w:rPr>
        <w:t>年政府决算相关重要事项的说明</w:t>
      </w:r>
    </w:p>
    <w:p>
      <w:pPr>
        <w:rPr>
          <w:rFonts w:ascii="仿宋_GB2312" w:eastAsia="仿宋_GB2312"/>
          <w:b/>
          <w:color w:val="auto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一、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市本级支出决算说明</w:t>
      </w:r>
    </w:p>
    <w:p>
      <w:pPr>
        <w:spacing w:line="600" w:lineRule="exact"/>
        <w:ind w:firstLine="640" w:firstLineChars="200"/>
        <w:rPr>
          <w:rFonts w:ascii="仿宋_GB2312" w:hAnsi="仿宋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年度永安市本级一般公共决算支出数为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276784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万元，比201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年度决算数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13600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万元，增长5.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。具体情况如下（分款级科目表述）：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strike w:val="0"/>
          <w:dstrike w:val="0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（一）一般公共服务支出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30951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5404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14.86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</w:t>
      </w:r>
      <w:r>
        <w:rPr>
          <w:rFonts w:hint="eastAsia" w:ascii="仿宋_GB2312" w:hAnsi="仿宋" w:eastAsia="仿宋_GB2312"/>
          <w:b/>
          <w:strike w:val="0"/>
          <w:dstrike w:val="0"/>
          <w:color w:val="auto"/>
          <w:kern w:val="0"/>
          <w:sz w:val="32"/>
          <w:szCs w:val="32"/>
        </w:rPr>
        <w:t>主要原因是工资调整等支出。其中：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 人大事务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0万元，较上年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180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22.5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 政协事务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510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12.09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 政府办公厅（室）及相关机构事务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3825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6298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62.21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 发展和改革事务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863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1056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55.03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 统计信息事务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517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134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34.99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6. 财政事务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727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11.66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7. 税收事务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1019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20.02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8. 审计事务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434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决算数增加31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7.69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9. 人力资源事务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478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88.35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10. 纪检监察事务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1567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930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146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11. 商贸事务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1950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4.22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12. 工商行政管理事务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1728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24.14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13. 质量技术监督与检验检疫事务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397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165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29.36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14. 民族事务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78.95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15.宗教事务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115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33.72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16.港澳台侨事务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43.75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17. 档案事务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2422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2260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1395.06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18.民主党派及工商联事务43万元，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与上年持平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19. 群众团体事务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774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173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18.27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20. 党委办公厅（室）及相关机构事务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1695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824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32.71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21. 组织事务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562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294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109.7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22. 宣传事务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436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26.23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23. 统战事务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333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0.6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24. 其他一般公共服务支出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10312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减少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0.74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%。主要是预留工资性支出。</w:t>
      </w:r>
    </w:p>
    <w:p>
      <w:pPr>
        <w:spacing w:line="600" w:lineRule="exact"/>
        <w:ind w:firstLine="643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（二）国防支出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162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75.7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</w:t>
      </w:r>
      <w:r>
        <w:rPr>
          <w:rFonts w:hint="eastAsia" w:ascii="仿宋_GB2312" w:hAnsi="仿宋" w:eastAsia="仿宋_GB2312"/>
          <w:b/>
          <w:bCs/>
          <w:color w:val="auto"/>
          <w:kern w:val="0"/>
          <w:sz w:val="32"/>
          <w:szCs w:val="32"/>
          <w:lang w:val="en-US" w:eastAsia="zh-CN"/>
        </w:rPr>
        <w:t>人防费减少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。其中：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国防动员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减少162万元，下降75.7%，主要是人防费减少。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（三）公共安全支出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13291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算数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244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1.87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%。主要原因是加大公共安全相关支出。其中：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 武装警察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391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565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59.1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 公安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11608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1089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10.35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 国家安全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750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 检察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308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91.12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 法院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372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82.48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6.司法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1045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272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35.19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7. 其他公共安全支出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（四）教育支出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71262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4842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7.29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%。主要原因是教育法定增长，人员工资变动等。其中：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 教育管理事务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650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2.69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 普通教育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61864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5629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10.01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 职业教育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3996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397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11.03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 广播电视教育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323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4.15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 特殊教育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254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10.92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6. 进修及培训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1665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301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15.31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7. 教育费附加安排的支出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2223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507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18.57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8. 其他教育支出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287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404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58.47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（五）科学技术支出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2899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10217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77.90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%。主要原因是上级专项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 科学技术管理事务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306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571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65.11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2.技术研究与开发1386万元，较上年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748万元，增长117.24%。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3.基础研究35万元，较上年决算数增加35万元，增长100%。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4.技术研究与开发1887万元，较上年决算数增加501万元，增长36.15%。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 xml:space="preserve"> 科学条件与服务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137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391.43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 科学技术普及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 科学交流与合作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万元，与上年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5万元，下降25%。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.科技重大项目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 其他科学技术支出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484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10191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95.47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（六）文化体育与传媒支出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3468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1305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60.33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 文化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1339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402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42.90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 文物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968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673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228.14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 体育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164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17.14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4.新闻出版广播影视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837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191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29.57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5.其他文化体育与传媒支出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160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10.34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（七）社会保障和就业支出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34726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7667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28.33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 人力资源和社会保障管理事务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1444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747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34.09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 民政管理事务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1981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119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5.67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 行政事业单位离退休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4204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3585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46.03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4.企业改革补助0万元，较上年决算数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持平。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5.就业补助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1312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658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100.61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6.抚恤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2186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181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9.03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7.退役安置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737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148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25.13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8.社会福利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546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1018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65.13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9.残疾人事业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1792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275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18.13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10.自然灾害生活补助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161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33.74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11.最低生活保障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518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470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47.57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12.临时救助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281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264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48.44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13. 特困人员救助供养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589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125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17.51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14.其他生活救助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66.67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15. 财政对基本养老保险基金的补助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17720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15435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675.49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16.财政对其他社会保险基金的补助60万元，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16. 其他社会保障和就业支出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1192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2672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69.15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（八）医疗卫生与计划生育支出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24837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734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3.05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%。主要原因是本级配套资金增加等。其中：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1.医疗卫生与计划生育管理事务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939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575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37.98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2.公立医院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1535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387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20.14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3.基层医疗卫生机构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3786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582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13.32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4.公共卫生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4567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812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21.62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5.中医药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24.24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6.计划生育事务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1862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569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23.41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7.食品和药品监督管理事务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687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720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51.17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8. 行政事业单位医疗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2201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545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19.85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9. 财政对基本医疗保险基金的补助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7109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2204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44.93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10. 医疗救助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775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168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17.82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11. 优抚对象医疗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12. 其他医疗卫生与计划生育支出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1273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1227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2667.39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（九）节能环保支出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11556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5493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90.60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%。主要原因是上级专项资金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 环境保护管理事务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1016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613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152.11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2.环境监测与监察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313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308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6160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 污染防治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3489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453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14.92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4.自然生态保护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616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284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31.56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5.天然林保护269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269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.能源节约利用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2713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2430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858.66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.可再生能源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1190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297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33.26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.其他节能环保支出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1950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1407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259.12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（十）城乡社区支出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12335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3199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20.59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减少城市基础设施建设经费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1.城乡社区管理事务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5321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2422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83.55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2.城乡规划与管理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1734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622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55.94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3.城乡社区公共设施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1930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5903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75.36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4.城乡社区环境卫生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3208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455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12.42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5.其他城乡社区支出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142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115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425.93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（十一）农林水支出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32494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6601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25.49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1.农业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6578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1003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13.23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2.林业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11786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2954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33.45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3.水利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6726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2447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57.19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4.扶贫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1747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17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26.1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5.农村综合开发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3269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2948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918.38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6.农村综合改革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2000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0.55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7.普惠金融发展支出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425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96.81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8.其他农林水支出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375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287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326.14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（十二）交通运输支出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12165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3417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39.06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%。主要原因是上级专项资金增加。其中：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1.公路水路运输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4608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2160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88.24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2.铁路运输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3成品油价格改革对交通运输的补贴1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807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673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59.35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4车辆购置税支出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5750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734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14.63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5.其他交通运输支出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（十三）资源勘探信息等支出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952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4164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81.39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1.资源勘探开发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545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96.46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2.安全生产监管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355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15.64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.支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中小企业发展和管理支出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2782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97.61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.其他资源勘探信息等支出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509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885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63.49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（十四）商业服务业等支出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1981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128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6.07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1.商业流通事务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764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136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15.11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2.旅游业管理与服务支出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792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108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3.涉外发展服务支出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175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129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42.43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4.其他商业服务业等支出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250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245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4900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（十五）国土海洋气象等支出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5122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2670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108.89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%。主要原因是国土专项资金增加。其中：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1.国土资源事务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4954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2717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121.46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2.海洋管理事务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6万元，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100%。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3.气象事务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168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41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19.62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（十六）住房保障支出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2119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2131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50.14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%。主要原因是上级专项资金减少。其中：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1.保障性安居工程支出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273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决算数减少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2443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万元，下降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88.83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2.住房改革支出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1846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2.16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（十七）粮油物资储备支出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799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608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43.21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1.粮油事务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799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  <w:lang w:val="en-US" w:eastAsia="zh-CN"/>
        </w:rPr>
        <w:t>608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43.21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（十八）其他支出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512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11.79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1.其他支出458万元，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512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11.79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（十九）债务付息支出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15241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6749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79.47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%。主要是付息支出。其中：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1.地方政府一般债券付息支出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15241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</w:rPr>
        <w:t>决算数增加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  <w:lang w:val="en-US" w:eastAsia="zh-CN"/>
        </w:rPr>
        <w:t>6749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万元，增长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79.47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仿宋" w:eastAsia="仿宋_GB2312"/>
          <w:b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（二十）债务发行费用支出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b/>
          <w:color w:val="auto"/>
          <w:kern w:val="0"/>
          <w:sz w:val="32"/>
          <w:szCs w:val="32"/>
          <w:lang w:val="en-US" w:eastAsia="zh-CN"/>
        </w:rPr>
        <w:t>164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  <w:lang w:val="en-US" w:eastAsia="zh-CN"/>
        </w:rPr>
        <w:t>88.65</w:t>
      </w:r>
      <w:r>
        <w:rPr>
          <w:rFonts w:hint="eastAsia" w:ascii="仿宋_GB2312" w:hAnsi="仿宋" w:eastAsia="仿宋_GB2312"/>
          <w:b/>
          <w:color w:val="auto"/>
          <w:kern w:val="0"/>
          <w:sz w:val="32"/>
          <w:szCs w:val="32"/>
        </w:rPr>
        <w:t>%。其中：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1.地方政府一般债务发行费用支出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支出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万元，较上年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</w:rPr>
        <w:t>决算数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Arial"/>
          <w:b w:val="0"/>
          <w:bCs/>
          <w:color w:val="auto"/>
          <w:kern w:val="0"/>
          <w:sz w:val="32"/>
          <w:szCs w:val="32"/>
          <w:lang w:val="en-US" w:eastAsia="zh-CN"/>
        </w:rPr>
        <w:t>164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  <w:lang w:val="en-US" w:eastAsia="zh-CN"/>
        </w:rPr>
        <w:t>88.65</w:t>
      </w:r>
      <w:r>
        <w:rPr>
          <w:rFonts w:hint="eastAsia" w:ascii="仿宋_GB2312" w:hAnsi="仿宋" w:eastAsia="仿宋_GB2312"/>
          <w:b w:val="0"/>
          <w:bCs/>
          <w:color w:val="auto"/>
          <w:kern w:val="0"/>
          <w:sz w:val="32"/>
          <w:szCs w:val="32"/>
        </w:rPr>
        <w:t>%。</w:t>
      </w:r>
    </w:p>
    <w:p>
      <w:pPr>
        <w:spacing w:line="600" w:lineRule="exact"/>
        <w:ind w:firstLine="643" w:firstLineChars="200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年度永安市（县、区）对下税收返还和转移支付决算数为0万元，比201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年度执行数（或决算数）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增加（减少）0万元，增长（下降）0%</w:t>
      </w:r>
      <w:r>
        <w:rPr>
          <w:rFonts w:hint="eastAsia" w:ascii="仿宋_GB2312" w:hAnsi="仿宋" w:eastAsia="仿宋_GB2312" w:cs="Arial"/>
          <w:color w:val="auto"/>
          <w:kern w:val="0"/>
          <w:sz w:val="32"/>
          <w:szCs w:val="32"/>
        </w:rPr>
        <w:t>。本县所辖乡镇作为一级决算部门管理，未单独编制政府决算，为此未有对下税收返还和转移支付决算数据。</w:t>
      </w:r>
    </w:p>
    <w:p>
      <w:pPr>
        <w:spacing w:line="600" w:lineRule="exact"/>
        <w:ind w:firstLine="620"/>
        <w:rPr>
          <w:rFonts w:ascii="仿宋_GB2312" w:hAnsi="黑体" w:eastAsia="仿宋_GB2312"/>
          <w:b/>
          <w:color w:val="auto"/>
          <w:sz w:val="32"/>
          <w:szCs w:val="32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</w:rPr>
        <w:t>三、决算绩效开展情况</w:t>
      </w:r>
    </w:p>
    <w:p>
      <w:pPr>
        <w:spacing w:line="600" w:lineRule="exact"/>
        <w:ind w:firstLine="620"/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2018年经市人大审定批准的项目446个，涉及到97个单位，资金总额为99841万元，2018年经三明财政局核定完成绩效履盖率 91.13%。其中：完成项目绩效目标申报98564万元；完成项目绩效监控91005.1万元;完成绩效自评86890万元；完成5个项目资金绩效重点评价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20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、“三公”经费决算情况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经汇总，2018年市本级“三公”经费公共财政拨款支出1025.7万元，比上年减少支出109.8万元，下降9.67%。具体情况如下：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一）公务用车购置及运行费720.3万元。其中：公务用车购置费31.2万元，公务用车购置2辆；公务用车运行费689.1万元，主要用于公务用车燃油、维修、保险等方面支出，年末公务用车保有量353辆。与2017年相比，公务用车购置费增加31.2万元，增长100%，主要是小陶卫生院救护车更新及疾控中心购买疫苗冷链车；公务用车运行维护费减少102.2万元，下降12.92%，主要是公务用车改革，严格压缩公务用车运行经费支出，认真落实公车运行费用定额标准，加大对公车“定点保险、定点维修、定点加油”的监督检查力度，有效控制公车运行费用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（二）公务接待费288.3万元，国内公务接待2741批次，21945人次。与2017年相比, 公务接待费支出压减43.1万元，下降13.01%，主要是规范公务接待工作，严格执行中央关于党政机关国内公务接待的管理规定，实行接待预算管理，健全完善公务接待经费管理办法。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（三）因公出国（境）费17万元。全年市级部门组织出国团组8个，因公出国（境）累计7人次。与2017年相比, 因公出国（境）经费支出增支4.2万元，增长32.81%。主要是统战部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、政府办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等部门单位出国经费。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4A6"/>
    <w:rsid w:val="00030752"/>
    <w:rsid w:val="00057A3C"/>
    <w:rsid w:val="000A242D"/>
    <w:rsid w:val="000E3540"/>
    <w:rsid w:val="000E6491"/>
    <w:rsid w:val="00181396"/>
    <w:rsid w:val="001C7E0E"/>
    <w:rsid w:val="00216CA0"/>
    <w:rsid w:val="0027783D"/>
    <w:rsid w:val="00282969"/>
    <w:rsid w:val="00313891"/>
    <w:rsid w:val="003D4D4E"/>
    <w:rsid w:val="00416BBA"/>
    <w:rsid w:val="0049693E"/>
    <w:rsid w:val="004E5BF4"/>
    <w:rsid w:val="00500BF1"/>
    <w:rsid w:val="00554E71"/>
    <w:rsid w:val="005775D9"/>
    <w:rsid w:val="00580AD9"/>
    <w:rsid w:val="005970D7"/>
    <w:rsid w:val="005D12B2"/>
    <w:rsid w:val="00651375"/>
    <w:rsid w:val="00655AEB"/>
    <w:rsid w:val="00663B84"/>
    <w:rsid w:val="00681E36"/>
    <w:rsid w:val="00733FA7"/>
    <w:rsid w:val="00771846"/>
    <w:rsid w:val="007802A2"/>
    <w:rsid w:val="00804406"/>
    <w:rsid w:val="008804F4"/>
    <w:rsid w:val="0097609C"/>
    <w:rsid w:val="009D34A6"/>
    <w:rsid w:val="00A75C31"/>
    <w:rsid w:val="00AA4D1D"/>
    <w:rsid w:val="00AF642F"/>
    <w:rsid w:val="00B03E7C"/>
    <w:rsid w:val="00BF3C18"/>
    <w:rsid w:val="00C47A87"/>
    <w:rsid w:val="00C77B31"/>
    <w:rsid w:val="00CC7DF0"/>
    <w:rsid w:val="00D73A9B"/>
    <w:rsid w:val="00D874CE"/>
    <w:rsid w:val="00D905AB"/>
    <w:rsid w:val="00DA46E0"/>
    <w:rsid w:val="00DB1225"/>
    <w:rsid w:val="00E075EC"/>
    <w:rsid w:val="00E469B6"/>
    <w:rsid w:val="00E50611"/>
    <w:rsid w:val="00EA7613"/>
    <w:rsid w:val="00EE575F"/>
    <w:rsid w:val="00F81725"/>
    <w:rsid w:val="00F87E2C"/>
    <w:rsid w:val="00FC6FDA"/>
    <w:rsid w:val="03343521"/>
    <w:rsid w:val="036B19EB"/>
    <w:rsid w:val="03C948D5"/>
    <w:rsid w:val="066E6B7C"/>
    <w:rsid w:val="06D7332F"/>
    <w:rsid w:val="070A2503"/>
    <w:rsid w:val="084D6DFB"/>
    <w:rsid w:val="08B60375"/>
    <w:rsid w:val="08EC63A0"/>
    <w:rsid w:val="093E5163"/>
    <w:rsid w:val="0CAA4D0E"/>
    <w:rsid w:val="0E192A18"/>
    <w:rsid w:val="0EC51E84"/>
    <w:rsid w:val="0FFD436D"/>
    <w:rsid w:val="10970692"/>
    <w:rsid w:val="11CD4BC3"/>
    <w:rsid w:val="134D3270"/>
    <w:rsid w:val="18E42E59"/>
    <w:rsid w:val="1F8E1904"/>
    <w:rsid w:val="230835F5"/>
    <w:rsid w:val="24E422A3"/>
    <w:rsid w:val="26BD1716"/>
    <w:rsid w:val="2765371A"/>
    <w:rsid w:val="28237F66"/>
    <w:rsid w:val="2D412A32"/>
    <w:rsid w:val="310D2936"/>
    <w:rsid w:val="31E429D1"/>
    <w:rsid w:val="33C070F1"/>
    <w:rsid w:val="349A0606"/>
    <w:rsid w:val="3AF2523D"/>
    <w:rsid w:val="3BDE1F84"/>
    <w:rsid w:val="3D9A6F91"/>
    <w:rsid w:val="40833B00"/>
    <w:rsid w:val="40C04028"/>
    <w:rsid w:val="40D80221"/>
    <w:rsid w:val="41360E7F"/>
    <w:rsid w:val="439C050C"/>
    <w:rsid w:val="45A32FD5"/>
    <w:rsid w:val="462C4469"/>
    <w:rsid w:val="4719501E"/>
    <w:rsid w:val="47BD51FB"/>
    <w:rsid w:val="48A1628E"/>
    <w:rsid w:val="4BBF4CD1"/>
    <w:rsid w:val="4C06021D"/>
    <w:rsid w:val="4DA863E8"/>
    <w:rsid w:val="500F1C65"/>
    <w:rsid w:val="503243E6"/>
    <w:rsid w:val="50670DE3"/>
    <w:rsid w:val="50A651BD"/>
    <w:rsid w:val="50DE7952"/>
    <w:rsid w:val="515F6A35"/>
    <w:rsid w:val="52091996"/>
    <w:rsid w:val="52200ABC"/>
    <w:rsid w:val="544C436F"/>
    <w:rsid w:val="54E448E4"/>
    <w:rsid w:val="57317827"/>
    <w:rsid w:val="58B85FA9"/>
    <w:rsid w:val="59C20C99"/>
    <w:rsid w:val="5C732F9F"/>
    <w:rsid w:val="5CEB5695"/>
    <w:rsid w:val="5F1A2341"/>
    <w:rsid w:val="6164392E"/>
    <w:rsid w:val="63606C0A"/>
    <w:rsid w:val="64282F39"/>
    <w:rsid w:val="65486185"/>
    <w:rsid w:val="65C24DF3"/>
    <w:rsid w:val="66680481"/>
    <w:rsid w:val="66AE7263"/>
    <w:rsid w:val="66D322B3"/>
    <w:rsid w:val="68A250A1"/>
    <w:rsid w:val="69746A46"/>
    <w:rsid w:val="6A642982"/>
    <w:rsid w:val="6BB3196D"/>
    <w:rsid w:val="6C410A75"/>
    <w:rsid w:val="6CB07DD0"/>
    <w:rsid w:val="6DB92E03"/>
    <w:rsid w:val="6F6123B4"/>
    <w:rsid w:val="6F862229"/>
    <w:rsid w:val="752A034A"/>
    <w:rsid w:val="76223490"/>
    <w:rsid w:val="7761344A"/>
    <w:rsid w:val="77BB007B"/>
    <w:rsid w:val="78972C35"/>
    <w:rsid w:val="7AE946B6"/>
    <w:rsid w:val="7BF677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1063</Words>
  <Characters>6060</Characters>
  <Lines>50</Lines>
  <Paragraphs>14</Paragraphs>
  <TotalTime>7</TotalTime>
  <ScaleCrop>false</ScaleCrop>
  <LinksUpToDate>false</LinksUpToDate>
  <CharactersWithSpaces>7109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2018-01-02T08:12:00Z</dcterms:created>
  <dc:creator>何吾志</dc:creator>
  <cp:lastModifiedBy>cholin巧玲</cp:lastModifiedBy>
  <cp:lastPrinted>2018-04-23T02:02:00Z</cp:lastPrinted>
  <dcterms:modified xsi:type="dcterms:W3CDTF">2021-06-08T03:30:10Z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FF8D81FA89BB4138B048A44F22C77F05</vt:lpwstr>
  </property>
</Properties>
</file>