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永安市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（预算）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年全市新增政府债务</w:t>
      </w:r>
      <w:r>
        <w:rPr>
          <w:rFonts w:hint="eastAsia" w:ascii="仿宋_GB2312" w:hAnsi="仿宋_GB2312" w:eastAsia="仿宋_GB2312" w:cs="仿宋_GB2312"/>
          <w:sz w:val="32"/>
          <w:szCs w:val="32"/>
        </w:rPr>
        <w:t>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年底，全市政府债务余额预计执行数</w:t>
      </w:r>
      <w:r>
        <w:rPr>
          <w:rFonts w:hint="eastAsia" w:ascii="仿宋_GB2312" w:hAnsi="仿宋_GB2312" w:eastAsia="仿宋_GB2312" w:cs="仿宋_GB2312"/>
          <w:sz w:val="32"/>
          <w:szCs w:val="32"/>
        </w:rPr>
        <w:t>690637万元</w:t>
      </w:r>
      <w:r>
        <w:rPr>
          <w:rFonts w:hint="eastAsia" w:ascii="仿宋" w:hAnsi="仿宋" w:eastAsia="仿宋" w:cs="仿宋"/>
          <w:spacing w:val="-6"/>
        </w:rPr>
        <w:t>，债务余额严格控制在中央核定的限额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739024万元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年全市由省级代为发行地方政府债券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6"/>
        </w:rPr>
        <w:t xml:space="preserve">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元、由省级代为发行再融资债券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ind w:firstLine="616" w:firstLineChars="200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  <w:t>2019年全市地方政府债券还本付息预计执行数24685万元；其中：一般债券利息15305万元，纳入一般公共预算；专项债券利息15860万元，纳入政府基金预算。</w:t>
      </w:r>
      <w:bookmarkStart w:id="0" w:name="_GoBack"/>
      <w:bookmarkEnd w:id="0"/>
    </w:p>
    <w:p>
      <w:pPr>
        <w:ind w:firstLine="616" w:firstLineChars="200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lang w:val="en-US" w:eastAsia="zh-CN" w:bidi="ar-SA"/>
        </w:rPr>
        <w:t>2020年全市地方政府债券还本付息预算数87567万元；其中：一般债券本金43933万元，一般债券利息15800万元，纳入一般公共预算；专项债券本金17486万元，专项债券利息10348万元，纳入政府基金预算。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hint="default" w:ascii="仿宋" w:hAnsi="仿宋" w:eastAsia="仿宋" w:cs="仿宋"/>
          <w:spacing w:val="-6"/>
          <w:lang w:val="en-US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年省财政下达全市新增债务限额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91263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</w:t>
      </w:r>
      <w:r>
        <w:rPr>
          <w:rFonts w:hint="eastAsia" w:ascii="仿宋" w:hAnsi="仿宋" w:eastAsia="仿宋" w:cs="仿宋"/>
          <w:spacing w:val="-6"/>
          <w:lang w:eastAsia="zh-CN"/>
        </w:rPr>
        <w:t>一般债券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8463万元，</w:t>
      </w:r>
      <w:r>
        <w:rPr>
          <w:rFonts w:hint="eastAsia" w:ascii="仿宋" w:hAnsi="仿宋" w:eastAsia="仿宋" w:cs="仿宋"/>
          <w:spacing w:val="-6"/>
          <w:lang w:eastAsia="zh-CN"/>
        </w:rPr>
        <w:t>安排用于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永安市城市排水防涝基础设施建设（一期）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万元，永安市城区桥梁建设改造工程940万元，关于永安市一中附属学校（原永安市文龙学校）教学楼建设项目860万元，永安市第一中学图书信息中心楼建设项目100万元，永安市第一中学图书信息中心楼建设项目500万元，永安市洪田经黄龙至忠洛公路建设项目1000万元，永安市永浆至上坪公路建设项目2208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世行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中国（福建）医疗卫生改革促进项目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专项债券82800万元，主要用于兴泉铁路资本金29500万元，三明市永安总医院建设项目15000万元，闽中公铁联运物流基地铁路港建设项目10000万元，永安市学前教育建设5000万元，永安市城乡养老服务中心建设项目5000万元，永安市城市南部污水处理厂5000万元，永安市生活垃圾无害化处理工程建设项目5000万元，永安市城区背街小巷雨污分流改造工程3000万元，汽车零部件标准化厂房三期及配套设施项目3000万元，永安市石墨和石墨烯产业园水东片区多层标准化厂房项目1800万元，永安市西区水厂项目500万元。</w:t>
      </w:r>
    </w:p>
    <w:p>
      <w:pPr>
        <w:pStyle w:val="7"/>
        <w:spacing w:line="580" w:lineRule="exact"/>
        <w:ind w:firstLine="616" w:firstLineChars="200"/>
        <w:rPr>
          <w:rFonts w:hint="eastAsia" w:ascii="黑体" w:hAnsi="黑体" w:eastAsia="黑体" w:cs="仿宋"/>
          <w:spacing w:val="-6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073341E9"/>
    <w:rsid w:val="0C7F5B00"/>
    <w:rsid w:val="1A3C4BF9"/>
    <w:rsid w:val="1F396F2B"/>
    <w:rsid w:val="20D64B90"/>
    <w:rsid w:val="23437E54"/>
    <w:rsid w:val="24377A74"/>
    <w:rsid w:val="24B237EA"/>
    <w:rsid w:val="33B91A8E"/>
    <w:rsid w:val="39CD56E9"/>
    <w:rsid w:val="3D2D5606"/>
    <w:rsid w:val="3FFE5535"/>
    <w:rsid w:val="48FF037E"/>
    <w:rsid w:val="5DE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1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cholin巧玲</cp:lastModifiedBy>
  <cp:lastPrinted>2021-05-31T10:34:00Z</cp:lastPrinted>
  <dcterms:modified xsi:type="dcterms:W3CDTF">2021-06-08T07:25:29Z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C2342E5E9C6F431D92665F8164ECD8CC</vt:lpwstr>
  </property>
</Properties>
</file>