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永安市2022年政府预算相关重要事项的说明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2022年度永安市本级一般公共预算支出数为362401万元，比2021年度预算数减少5876万元，下降1.60%。具体情况如下（分款级科目表述）：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（一）一般公共服务支出33139万元，较上年预算数减少1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1472万元，下降25.72%。其中：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人大事务700万元，较上年预算数减少150万元，下降17.65%。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政协事务450万元，较上年预算数减少40万元，下降8.16%。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政府办公厅（室）及相关机构事务9953万元，较上年预算数减少1767万元，下降15.08%。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发展和改革事务915万元，较上年预算数减少300万元，下降24.69%。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5.统计信息事务825万元，较上年预算数减少315万元，下降27.63%。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 财政事务660万元，较上年预算数减少240万元，下降26.67%。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 税收事务1033万元，较上年预算数减少577万元，下降35.84%。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 审计事务324万元，较上年预算数减少136万元，下降29.57%。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9. 纪检监察事务1050万元，较上年预算数减少290万元，下降21.64%。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10. 商贸事务1020万元，较上年预算数减少350万元，下降25.55%。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11.民族事务70万元，较上年预算数减少30万元，下降30%。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.港澳台事务15万元，与上年持平。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13.档案事务78万元，较上年预算数减少42万元，下降35%。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14.民主党派及工商联事务20万元，与上年持平。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15.群众团体事务386万元，较上年预算数减少156万元，下降28.78%。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16.党委办公厅（室）及相关机构事务1735万元，较上年预算数减少405万元，下降18.93%。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17.组织事务780万元，较上年预算数减少280万元，下降26.42%。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18.宣传事务425万元，较上年预算数减少165万元，下降27.97%。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19.统战事务380万元，较上年预算数减少100万元，下降20.83%。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20.其他共产党事务400万元，较上年预算数减少95万元，下降19.19%。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21.市场监督管理事务1840万元，较上年预算数减少471万元，下降20.38%。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22.</w:t>
      </w:r>
      <w:r>
        <w:rPr>
          <w:rFonts w:ascii="仿宋_GB2312" w:eastAsia="仿宋_GB2312"/>
          <w:kern w:val="0"/>
          <w:sz w:val="32"/>
          <w:szCs w:val="32"/>
        </w:rPr>
        <w:t>其他一般公共服务支出</w:t>
      </w:r>
      <w:r>
        <w:rPr>
          <w:rFonts w:hint="eastAsia" w:ascii="仿宋_GB2312" w:eastAsia="仿宋_GB2312"/>
          <w:kern w:val="0"/>
          <w:sz w:val="32"/>
          <w:szCs w:val="32"/>
        </w:rPr>
        <w:t>10080万元，较上年预算数减少5563万元，下降35.56%。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（二）国防支出835万元，较上年预算数增加339万元，增长68.35%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。主要原因是人防易地建设费增加。其中：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国防动员370万元，较上年预算数增加110万元，</w:t>
      </w:r>
      <w:r>
        <w:rPr>
          <w:rFonts w:hint="eastAsia" w:ascii="仿宋_GB2312" w:eastAsia="仿宋_GB2312"/>
          <w:bCs/>
          <w:kern w:val="0"/>
          <w:sz w:val="32"/>
          <w:szCs w:val="32"/>
        </w:rPr>
        <w:t>增长42.31%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2.其他国防支出465万元，较上年预算数增加229万元，增长97.03%。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（三）公共安全支出17180万元，较上年预算数增加6914万元，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增长67.35%。主要原因是上级专项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1.武装警察0万元，与上年持平。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2.公安14997万元，较上年预算数增加5451万元，增长57.10%。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3.国家安全37万元，与较上年预算数增加14万元，增长60.87%。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4.司法996万元，较上年预算数增加299万元，增长42.90%。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5.其他公共安全支出1150万元，较上年预算数增加1150万元，增长100%。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（四）教育支出78525万元，较上年预算数增加6397万元，增长8.87%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。主要原因是人员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年底绩效奖金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变动等。其中：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教育管理事务953万元，较上年预算数增加68万元，增长7.68%。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普通教育66545万元，较上年预算数增加4776万元，增长7.73%。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职业教育5018万元，较上年预算数增加741万元，增长17.33%。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广播电视教育400万元，较上年预算数增加53万元，增长15.27%。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特殊教育428万元，较上年预算数增加38万元，增长9.74%。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 进修及培训1500万元，较上年预算数增加211万元，增长16.37%。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7.教育费附加安排的支出2955万元，较上年预算数增加331万元，增长12.61%。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 其他教育支出726万元，较上年预算数增加179万元，增长32.72%。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（五）科学技术支出2812万元，较上年预算数增加1080万元，增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长62.36%。主要原因是上级专项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科学技术管理事务290万元，较上年预算数增加129万元，增长80.12%。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2.基础研究68万元，较上年预算数增加31万元，增长83.78%。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3.应用研究233万元，较上年预算数增加98万元，增长72.59%。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4.技术研究与开发2012万元，较上年预算数增加765万元，增长61.35%。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5.科技条件与服务209万元，较上年预算数增加57万元，增长37.50%。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 科学技术普及0万元，与上年持平。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7.科技交流与合作0万元，与上年持平。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8.其他科学技术支出0万元，与上年持平。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（六）文化体育与传媒支出4285万元，较上年预算数增加2291万元，增长114.89%。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主要原因是建设费、运行费等增加。其中：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文化和旅游1608万元，较上年预算数增加716万元，增长80.27%。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文物284万元，较上年预算数增加169万元，增长146.96%。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体育287万元，较上年预算数增加175万元，增长156.25%。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4.新闻出版电影469万元，较上年预算数增加251万元，增长115.14%。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5.广播电视620万元，较上年预算数增加343万元，增长123.83%。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6.其他文化旅游体育与传媒支出1017万元，较上年预算数增加637万元，增长167.63%。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（七）社会保障和就业支出23798万元，较上年预算数减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少13992万元，下降37.03%，其中：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人力资源和社会保障管理事务1050万元，较上年预算数减少489万元，下降31.77%。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民政管理事务930万元，较上年预算数减少530万元，下降36.30%。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行政事业单位养老支出3810万元，较上年预算数减少2490万元，下降39.52%。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就业补助576万元，较上年预算数减少624万元，下降52%。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抚恤967万元，较上年预算数减少653万元，下降40.31%。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6.退役安置233万元，较上年预算数减少201万元，下降46.31%。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 社会福利1624万元，较上年预算数减少1150万元，下降41.46%。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 残疾人事业673万元，较上年预算数减少319万元，下降32.16%。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.最低生活保障1175万元，较上年预算数减少475万元，下降28.79%。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10.临时救助237万元，较上年预算数减少153万元，下降39.23%。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11.特困人员救助供养435万元，较上年预算数减少295万元，下降40.41%。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12.财政对基本养老保险基金的补助10400万元，较上年预算数减少5172万元，下降33.21%。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13.退役军人管理事务431万元，较上年预算数减少388万元，下降47.37%。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14.其他社会保障和就业支出260万元，较上年预算数减少198万元，下降43.23%。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（八）卫生健康支出35861万元，较上年预算数减少935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万元，下降2.54%。其中：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1.卫生健康管理事务3329万元，较上年预算数减少220万元，下降6.20%。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2.公立医院3233万元，较上年预算数减少300万元，下降8.49%。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3.基层医疗卫生机构5882万元，较上年预算数减少35万元，下降0.59%。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4.公共卫生8537万元，与上年持平。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5.中医药69万元，与上年持平。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6.计划生育事务1659万元，与上年持平。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 行政事业单位医疗1549万元，与上年持平。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 财政对基本医疗保险基金的补助7631万元，与上年持平。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9. 医疗救助472万元，与上年持平。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10. 其他卫生健康支出3500万元，较上年预算数减少380万元，下降9.79%。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（九）节能环保支出1235万元，较上年预算数减少2019万元，下降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62.05%。主要原因是上级专项资金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环境保护管理事务30万元，较上年预算数减少38万元，下降55.88%。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污染防治794万元，较上年预算数减少1333万元，下降62.67%。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3.自然生态保护50万元，较上年预算数减少70万元，下降58.33%。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4.天然林保护276万元，较上年预算数减少451万元，下降62.04%。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5.可再生能源65万元，较上年预算数减少107万元，下降62.21%。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6.能源管理事务20万元，较上年预算数减少20万元，下降50%。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（十）城乡社区支出14947万元，较上年预算数减少81万元，下降0.54%。其中：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1.城乡社区管理事务3693万元，与上年持平。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2.城乡社区公共设施4350万元，与上年持平。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3.城乡社区环境卫生4348万元，与上年持平。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4.建设市场管理与监督33万元，与上年持平。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5.其他城乡社区支出2523万元，较上年预算数下降81万元，减少3.11%。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（十一）农林水支出41997万元，较上年预算数减少2075万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元，下降4.71%，其中：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1.农业农村11530万元，较上年预算数减少445万元，下降3.72%。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2.林业和草原10259万元，较上年预算数减少360万元，下降3.39%。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3.水利11713万元，较上年预算数减少320万元，下降2.66%。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4.扶贫2768万元，较上年预算数减少50万元，下降1.77%。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5.农村综合改革4682万元，与上年持平。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6.其他农林水支出1045万元，较上年预算数减少900万元，下降46.27%。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（十二）交通运输支出8099万元，较上年预算数增加3930万元，增长94.27%。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主要原因是交通道路设施建设增加。其中：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1.公路水路运输5929万元，较上年预算数增加2742万元，增长86.04%。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成品油价格改革对交通运输的补贴1014万元，较上年预算数增加463万元，增长84.03%。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3.车辆购置税支出756万元，较上年预算数增加325万元，增长75.41%。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4.其他交通运输支出400万元，较上年预算数增加400万元，增长100%。</w:t>
      </w:r>
    </w:p>
    <w:p>
      <w:pPr>
        <w:spacing w:line="600" w:lineRule="exact"/>
        <w:ind w:firstLine="643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（十三）资源勘探工业信息等支出11169万元，较上年预算数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496万元，</w:t>
      </w:r>
      <w:r>
        <w:rPr>
          <w:rFonts w:ascii="仿宋_GB2312" w:eastAsia="仿宋_GB2312"/>
          <w:b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</w:rPr>
        <w:t>4.65%。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主要是上级专项资金增加，其中：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1.资源勘探开发26万元，与上年持</w:t>
      </w:r>
      <w:r>
        <w:rPr>
          <w:rFonts w:hint="eastAsia" w:ascii="仿宋_GB2312" w:eastAsia="仿宋_GB2312"/>
          <w:kern w:val="0"/>
          <w:sz w:val="32"/>
          <w:szCs w:val="32"/>
        </w:rPr>
        <w:t>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2.支持中小企业发展和管理支出5850万元，与上年持平。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3.其他资源勘探工业信息等支出5293万元，较上年预算数增加496万元，增长10.34%。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（十四）商业服务业等支出3365万元，较上年预算数增加2365万元，增长236.50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1.商业流通事务1288万元，较上年预算数增加656万元，增长103.80%。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2.涉外发展服务支出489万元，较上年预算数增加371万元，增长314.41%。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3.其他商业服务业等支出1588万元，较上年预算数增加1338万元，增长535.20%。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（十五）自然资源海洋气象等支出2986万元，较上年预算数增加1279万元，增长74.93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%。主要原因是上级专项资金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1.自然资源事务2346万元，较上年预算数增加753万元，增长47.27%。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2.气象事务155万元，较上年预算数增加41万元，增长35.96%。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其他自然资源海洋气象等支出485万元，较上年预算数增加485万元，增长100%。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（十六）住房保障支出1451万元，较上年预算数减少1563万元，下降51.86%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1.保障性安居工程支出263万元，较上年预算数减少432万元，下降62.16%。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2.住房改革支出1188万元，较上年预算数减少1131万元，下降48.77%。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（十七）粮油物资储备支出323万元，与上年持平。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1.粮油事务323万元，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与上年持平。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（十八）灾害防治及应急管理支出1336万元，较上年预算数增加55万元，增长4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.29%。其中：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1.应急管理事务454万元，较上年预算数增加25万元，增长5.83%。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2.消防事务593万元，较上年预算数增加20万元，增长3.49%。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FF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3.自然灾害防治支出289万元，较上年预算数增加10万元，增长3.58%。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（十九）债务付息支出37565万元，较上年预算数增加3966万元，增长11.80%。主要是付息支出增加。其中：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1.地方政府一般债券付息支出37565万元，较上年预算数增加3966万元，增长11.80%。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（二十）其他支出28675万元，较上年预算数增加10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147，增长54.77%。其中：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1.年初预留</w:t>
      </w:r>
      <w:r>
        <w:rPr>
          <w:rFonts w:hint="eastAsia" w:ascii="仿宋_GB2312" w:eastAsia="仿宋_GB2312"/>
          <w:kern w:val="0"/>
          <w:sz w:val="32"/>
          <w:szCs w:val="32"/>
        </w:rPr>
        <w:t>15000</w:t>
      </w:r>
      <w:r>
        <w:rPr>
          <w:rFonts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</w:rPr>
        <w:t>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>其他支出13675万元，较上年预算数增加10147万元</w:t>
      </w:r>
      <w:r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增长287.61%。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2022年度永安市（县、区）对下税收返还和转移支付预算数为0万元，比2021年度执行数（或预算数）增加（减少）0万元，增长（下降）0%。本县所辖乡镇作为一级预算部门管理，未单独编制政府预算，为此未有对下税收返还和转移支付预算数据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三、举借政府债务情况</w:t>
      </w:r>
    </w:p>
    <w:p>
      <w:pPr>
        <w:spacing w:line="600" w:lineRule="exact"/>
        <w:ind w:firstLine="62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2021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年，我市地方政府债务限额1174015万元（一般债务限额703670万元，专项债务限额470345万元）。截至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2021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年底，全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政府债务余额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1069003万元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（一般债务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677355万元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，专项债务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391648万元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），债务余额严格控制在上级核定的限额内。新增政府债务限额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42128万元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新增</w:t>
      </w:r>
      <w:r>
        <w:rPr>
          <w:rFonts w:hint="eastAsia" w:ascii="仿宋_GB2312" w:eastAsia="仿宋_GB2312"/>
          <w:snapToGrid w:val="0"/>
          <w:kern w:val="0"/>
          <w:sz w:val="32"/>
          <w:szCs w:val="32"/>
          <w:highlight w:val="none"/>
        </w:rPr>
        <w:t>一般债务限额4845万元，新增专项债务限额37283万元）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，2021年偿还债券利息28214万元(一般债券利息15458万元、专项债券利息12756万元)。</w:t>
      </w:r>
    </w:p>
    <w:p>
      <w:pPr>
        <w:spacing w:line="600" w:lineRule="exact"/>
        <w:ind w:firstLine="620"/>
        <w:rPr>
          <w:rFonts w:hint="eastAsia" w:ascii="仿宋_GB2312" w:eastAsia="仿宋_GB2312"/>
          <w:kern w:val="0"/>
          <w:sz w:val="32"/>
          <w:szCs w:val="32"/>
          <w:highlight w:val="none"/>
        </w:rPr>
      </w:pP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四、预算绩效开展情况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2021年100%完成绩效管理工作。完成了262个项目的绩效目标申报和监控报告，共计金额244970万元，完成年初计划100%；完成286个项目的绩效自评，共计金额185000万元，完成年初计划100%；完成3个项目重点绩效评价，共计金额3554万元，提出22条问题或改进意见。完成79个部门整体绩效目标申报及评价，完成年初计划的100%，34个项目事前绩效评估，共计金额6413.8万元，梳理绩效指标1027个，对262个项目的绩效目标进行会审，对6个自评项目进行复查；2021年形成监控报告并合理利用监控结果调增了347万元、调减了3293万元预算。</w:t>
      </w:r>
    </w:p>
    <w:p>
      <w:pPr>
        <w:spacing w:line="600" w:lineRule="exact"/>
        <w:ind w:firstLine="620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五、“三公”经费预算情况</w:t>
      </w:r>
      <w:bookmarkStart w:id="0" w:name="_GoBack"/>
      <w:bookmarkEnd w:id="0"/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汇总，本级2022年使用一般公共预算拨款安排的“三公”经费预算数为1056.09万元，比上年预算数减少35.89万元。其中，因公出国（境）经费10万元，与上年持平；公务接待费312.83万元，与上年预算数相比减少15.73万元，下降4.78%；公务用车运行经费523.26万元，与上年预算数相比减少60.16万元，下降10.31%；公务用车购置经费210万元，与上年预算数相比增加30万元，增长17.65%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公务用车购置比上年增加主要是因为公安局购置执行用车预算180万元、纪委购置办案用车预算30万元。</w:t>
      </w: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937FB"/>
    <w:rsid w:val="00037E92"/>
    <w:rsid w:val="000A67DE"/>
    <w:rsid w:val="001E0DE8"/>
    <w:rsid w:val="00236792"/>
    <w:rsid w:val="003B74FD"/>
    <w:rsid w:val="00533F49"/>
    <w:rsid w:val="005C086F"/>
    <w:rsid w:val="00642636"/>
    <w:rsid w:val="00737BDE"/>
    <w:rsid w:val="00763A6F"/>
    <w:rsid w:val="007A1E6D"/>
    <w:rsid w:val="008937FB"/>
    <w:rsid w:val="008C1D9A"/>
    <w:rsid w:val="008C7307"/>
    <w:rsid w:val="00954538"/>
    <w:rsid w:val="00A96231"/>
    <w:rsid w:val="00AD26DE"/>
    <w:rsid w:val="00C555E7"/>
    <w:rsid w:val="00CA33EC"/>
    <w:rsid w:val="00D03AEC"/>
    <w:rsid w:val="00ED7679"/>
    <w:rsid w:val="00F231D1"/>
    <w:rsid w:val="00F92E74"/>
    <w:rsid w:val="019C4A38"/>
    <w:rsid w:val="02D23A8D"/>
    <w:rsid w:val="07925F29"/>
    <w:rsid w:val="087276D5"/>
    <w:rsid w:val="09643DE2"/>
    <w:rsid w:val="0AAF0654"/>
    <w:rsid w:val="0C0658A5"/>
    <w:rsid w:val="0D716427"/>
    <w:rsid w:val="0EF32D02"/>
    <w:rsid w:val="10B807C4"/>
    <w:rsid w:val="1195040B"/>
    <w:rsid w:val="11E42C67"/>
    <w:rsid w:val="12BB58E4"/>
    <w:rsid w:val="133E1EB1"/>
    <w:rsid w:val="1581560D"/>
    <w:rsid w:val="15F1161D"/>
    <w:rsid w:val="188514DD"/>
    <w:rsid w:val="210774F9"/>
    <w:rsid w:val="225E6C5F"/>
    <w:rsid w:val="22986B70"/>
    <w:rsid w:val="29B22DAC"/>
    <w:rsid w:val="2BB4011E"/>
    <w:rsid w:val="2EE70179"/>
    <w:rsid w:val="2F406E06"/>
    <w:rsid w:val="311D018D"/>
    <w:rsid w:val="329005DA"/>
    <w:rsid w:val="34727975"/>
    <w:rsid w:val="385703FF"/>
    <w:rsid w:val="3A947677"/>
    <w:rsid w:val="3BF75A95"/>
    <w:rsid w:val="3CDC3B57"/>
    <w:rsid w:val="3F2972AE"/>
    <w:rsid w:val="405F74B9"/>
    <w:rsid w:val="418807D8"/>
    <w:rsid w:val="425D7EB7"/>
    <w:rsid w:val="448C6E51"/>
    <w:rsid w:val="46F159D4"/>
    <w:rsid w:val="50164F37"/>
    <w:rsid w:val="513E0EB3"/>
    <w:rsid w:val="51F757DF"/>
    <w:rsid w:val="52302EF2"/>
    <w:rsid w:val="52E12C9B"/>
    <w:rsid w:val="55E93419"/>
    <w:rsid w:val="58E10AA2"/>
    <w:rsid w:val="592730FB"/>
    <w:rsid w:val="5A020F1A"/>
    <w:rsid w:val="5A310343"/>
    <w:rsid w:val="61AA4F1E"/>
    <w:rsid w:val="625D5C58"/>
    <w:rsid w:val="65714338"/>
    <w:rsid w:val="66B42C49"/>
    <w:rsid w:val="69E275ED"/>
    <w:rsid w:val="6AEA0EDA"/>
    <w:rsid w:val="6B0B79E5"/>
    <w:rsid w:val="6D2A7B3D"/>
    <w:rsid w:val="6E602011"/>
    <w:rsid w:val="764811A4"/>
    <w:rsid w:val="76E94971"/>
    <w:rsid w:val="77420E4E"/>
    <w:rsid w:val="77F04406"/>
    <w:rsid w:val="78C34DB1"/>
    <w:rsid w:val="78E12128"/>
    <w:rsid w:val="79A3224E"/>
    <w:rsid w:val="7AC1454B"/>
    <w:rsid w:val="7B1623D5"/>
    <w:rsid w:val="7C4D1E27"/>
    <w:rsid w:val="7C790E6E"/>
    <w:rsid w:val="7CEC098C"/>
    <w:rsid w:val="7F5D5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4783</Words>
  <Characters>1615</Characters>
  <Lines>13</Lines>
  <Paragraphs>12</Paragraphs>
  <TotalTime>44</TotalTime>
  <ScaleCrop>false</ScaleCrop>
  <LinksUpToDate>false</LinksUpToDate>
  <CharactersWithSpaces>6386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木槿暖夏☆</cp:lastModifiedBy>
  <cp:lastPrinted>2021-12-21T03:34:00Z</cp:lastPrinted>
  <dcterms:modified xsi:type="dcterms:W3CDTF">2021-12-24T09:15:56Z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19174404DF0543A7B8ACB67491336568</vt:lpwstr>
  </property>
</Properties>
</file>