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E5" w:rsidRDefault="00E87D22" w:rsidP="00F62A37">
      <w:pPr>
        <w:jc w:val="center"/>
        <w:rPr>
          <w:rFonts w:ascii="方正小标宋简体" w:eastAsia="方正小标宋简体" w:hAnsi="方正小标宋简体" w:cs="方正小标宋简体" w:hint="eastAsia"/>
          <w:sz w:val="40"/>
          <w:szCs w:val="40"/>
        </w:rPr>
      </w:pPr>
      <w:r>
        <w:rPr>
          <w:rFonts w:ascii="方正小标宋简体" w:eastAsia="方正小标宋简体" w:hAnsi="方正小标宋简体" w:cs="方正小标宋简体" w:hint="eastAsia"/>
          <w:sz w:val="40"/>
          <w:szCs w:val="40"/>
        </w:rPr>
        <w:t>2022年度</w:t>
      </w:r>
      <w:r w:rsidR="00140BF4">
        <w:rPr>
          <w:rFonts w:ascii="方正小标宋简体" w:eastAsia="方正小标宋简体" w:hAnsi="方正小标宋简体" w:cs="方正小标宋简体" w:hint="eastAsia"/>
          <w:sz w:val="40"/>
          <w:szCs w:val="40"/>
        </w:rPr>
        <w:t>林业</w:t>
      </w:r>
      <w:r w:rsidR="0008060D">
        <w:rPr>
          <w:rFonts w:ascii="方正小标宋简体" w:eastAsia="方正小标宋简体" w:hAnsi="方正小标宋简体" w:cs="方正小标宋简体" w:hint="eastAsia"/>
          <w:sz w:val="40"/>
          <w:szCs w:val="40"/>
        </w:rPr>
        <w:t>发展</w:t>
      </w:r>
      <w:r>
        <w:rPr>
          <w:rFonts w:ascii="方正小标宋简体" w:eastAsia="方正小标宋简体" w:hAnsi="方正小标宋简体" w:cs="方正小标宋简体" w:hint="eastAsia"/>
          <w:sz w:val="40"/>
          <w:szCs w:val="40"/>
        </w:rPr>
        <w:t>专项资金绩效自评表报告</w:t>
      </w:r>
    </w:p>
    <w:p w:rsidR="002E68C9" w:rsidRDefault="002E68C9" w:rsidP="00F62A37">
      <w:pPr>
        <w:jc w:val="center"/>
        <w:rPr>
          <w:rFonts w:ascii="方正小标宋简体" w:eastAsia="方正小标宋简体" w:hAnsi="方正小标宋简体" w:cs="方正小标宋简体"/>
          <w:sz w:val="40"/>
          <w:szCs w:val="40"/>
        </w:rPr>
      </w:pPr>
    </w:p>
    <w:p w:rsidR="006217F1" w:rsidRPr="00587674" w:rsidRDefault="00587674" w:rsidP="00587674">
      <w:pPr>
        <w:ind w:firstLineChars="200" w:firstLine="640"/>
        <w:rPr>
          <w:rFonts w:ascii="仿宋_GB2312" w:eastAsia="仿宋_GB2312" w:hAnsi="仿宋_GB2312" w:cs="仿宋_GB2312"/>
          <w:color w:val="000000" w:themeColor="text1"/>
          <w:sz w:val="32"/>
          <w:szCs w:val="32"/>
        </w:rPr>
      </w:pPr>
      <w:r w:rsidRPr="00517B6B">
        <w:rPr>
          <w:rFonts w:ascii="仿宋_GB2312" w:eastAsia="仿宋_GB2312" w:hAnsi="仿宋_GB2312" w:cs="仿宋_GB2312" w:hint="eastAsia"/>
          <w:color w:val="000000" w:themeColor="text1"/>
          <w:sz w:val="32"/>
          <w:szCs w:val="32"/>
        </w:rPr>
        <w:t>为提高</w:t>
      </w:r>
      <w:r>
        <w:rPr>
          <w:rFonts w:ascii="仿宋_GB2312" w:eastAsia="仿宋_GB2312" w:hAnsi="仿宋_GB2312" w:cs="仿宋_GB2312" w:hint="eastAsia"/>
          <w:color w:val="000000" w:themeColor="text1"/>
          <w:sz w:val="32"/>
          <w:szCs w:val="32"/>
        </w:rPr>
        <w:t>林业发展</w:t>
      </w:r>
      <w:r w:rsidRPr="00517B6B">
        <w:rPr>
          <w:rFonts w:ascii="仿宋_GB2312" w:eastAsia="仿宋_GB2312" w:hAnsi="仿宋_GB2312" w:cs="仿宋_GB2312" w:hint="eastAsia"/>
          <w:color w:val="000000" w:themeColor="text1"/>
          <w:sz w:val="32"/>
          <w:szCs w:val="32"/>
        </w:rPr>
        <w:t>专项资金使用绩效，永安市林业局组织对</w:t>
      </w:r>
      <w:r w:rsidRPr="00517B6B">
        <w:rPr>
          <w:rFonts w:ascii="仿宋_GB2312" w:eastAsia="仿宋_GB2312" w:hAnsi="仿宋_GB2312" w:cs="仿宋_GB2312"/>
          <w:color w:val="000000" w:themeColor="text1"/>
          <w:sz w:val="32"/>
          <w:szCs w:val="32"/>
        </w:rPr>
        <w:t>20</w:t>
      </w:r>
      <w:r w:rsidRPr="00517B6B">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2</w:t>
      </w:r>
      <w:r w:rsidRPr="00517B6B">
        <w:rPr>
          <w:rFonts w:ascii="仿宋_GB2312" w:eastAsia="仿宋_GB2312" w:hAnsi="仿宋_GB2312" w:cs="仿宋_GB2312" w:hint="eastAsia"/>
          <w:color w:val="000000" w:themeColor="text1"/>
          <w:sz w:val="32"/>
          <w:szCs w:val="32"/>
        </w:rPr>
        <w:t>年度</w:t>
      </w:r>
      <w:r>
        <w:rPr>
          <w:rFonts w:ascii="仿宋_GB2312" w:eastAsia="仿宋_GB2312" w:hAnsi="仿宋_GB2312" w:cs="仿宋_GB2312" w:hint="eastAsia"/>
          <w:color w:val="000000" w:themeColor="text1"/>
          <w:sz w:val="32"/>
          <w:szCs w:val="32"/>
        </w:rPr>
        <w:t>林业发展</w:t>
      </w:r>
      <w:r w:rsidRPr="00517B6B">
        <w:rPr>
          <w:rFonts w:ascii="仿宋_GB2312" w:eastAsia="仿宋_GB2312" w:hAnsi="仿宋_GB2312" w:cs="仿宋_GB2312" w:hint="eastAsia"/>
          <w:color w:val="000000" w:themeColor="text1"/>
          <w:sz w:val="32"/>
          <w:szCs w:val="32"/>
        </w:rPr>
        <w:t>专项专项开展绩效评价。</w:t>
      </w:r>
    </w:p>
    <w:p w:rsidR="000D63D2" w:rsidRPr="00F62A37" w:rsidRDefault="00F62A37" w:rsidP="00F62A37">
      <w:pPr>
        <w:ind w:firstLineChars="200" w:firstLine="640"/>
        <w:jc w:val="center"/>
        <w:rPr>
          <w:rFonts w:ascii="仿宋_GB2312" w:eastAsia="仿宋_GB2312" w:hAnsi="仿宋_GB2312" w:cs="仿宋_GB2312"/>
          <w:b/>
          <w:sz w:val="32"/>
          <w:szCs w:val="30"/>
        </w:rPr>
      </w:pPr>
      <w:r w:rsidRPr="00F62A37">
        <w:rPr>
          <w:rFonts w:ascii="仿宋_GB2312" w:eastAsia="仿宋_GB2312" w:hAnsi="仿宋_GB2312" w:cs="仿宋_GB2312" w:hint="eastAsia"/>
          <w:b/>
          <w:sz w:val="32"/>
          <w:szCs w:val="30"/>
        </w:rPr>
        <w:t>1、青水帮扶</w:t>
      </w:r>
    </w:p>
    <w:p w:rsidR="00F62A37" w:rsidRDefault="00F62A37" w:rsidP="00F62A3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一、基本情况</w:t>
      </w:r>
    </w:p>
    <w:p w:rsidR="00F62A37" w:rsidRDefault="00F62A37" w:rsidP="00F62A3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项目概况。为建设绿色低碳发展，推动林相由绿化向美化转变，建设绿色低碳发展，推动林相由绿化向美化转变，由绿水青山向金山银山转化。对村庄周围宜林荒山荒地及毛竹林进行改造，种植中国红山茶花100亩，对青水畲族乡迎凤山公园周边毛竹林进行改造，种植紫薇、红枫、樱花等景观树种30亩。</w:t>
      </w:r>
    </w:p>
    <w:p w:rsidR="00F62A37" w:rsidRDefault="00F62A37" w:rsidP="00F62A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绩效目标。对际头畲族村、东井村庄周围宜林荒山荒地及毛竹林进行改造，种植中国红山茶花100亩，对青水村迎凤山公园周边毛竹林进行改造，种植紫薇、红枫、樱花等景观树种30亩，做到既可观花观果又可产生经济价值，同进达到提升村庄景观效果。</w:t>
      </w:r>
    </w:p>
    <w:p w:rsidR="00F62A37" w:rsidRDefault="00F62A37" w:rsidP="00F62A37">
      <w:pPr>
        <w:ind w:firstLineChars="100" w:firstLine="32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二、绩效评价工作开展情况</w:t>
      </w:r>
    </w:p>
    <w:p w:rsidR="00F62A37" w:rsidRDefault="00F62A37" w:rsidP="00F62A3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(一)绩效评价目的、对象和范围。建设绿色低碳发展，推动林相由绿化向美化转变，建设绿色低碳发展，推动林相由绿化向美化转变，由绿水青山向金山银山转化。绩效</w:t>
      </w:r>
      <w:r>
        <w:rPr>
          <w:rFonts w:ascii="仿宋_GB2312" w:eastAsia="仿宋_GB2312" w:hAnsi="仿宋_GB2312" w:cs="仿宋_GB2312" w:hint="eastAsia"/>
          <w:sz w:val="32"/>
          <w:szCs w:val="32"/>
        </w:rPr>
        <w:lastRenderedPageBreak/>
        <w:t>评价对象为林业经营主体、受益花卉企业、受益竹农等。</w:t>
      </w:r>
    </w:p>
    <w:p w:rsidR="00F62A37" w:rsidRDefault="00F62A37" w:rsidP="00F62A3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(二)绩效评价原则、评价指标体系、评价方法、评价标准等。数量指标包括优良苗木培育数量等、社会效益指标包括增加受益竹农数等、服务对象满意度指标包括竹农满意度等。</w:t>
      </w:r>
    </w:p>
    <w:p w:rsidR="00F62A37" w:rsidRDefault="006217F1" w:rsidP="006217F1">
      <w:pPr>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sidR="00F62A37">
        <w:rPr>
          <w:rFonts w:ascii="仿宋_GB2312" w:eastAsia="仿宋_GB2312" w:hAnsi="仿宋_GB2312" w:cs="仿宋_GB2312" w:hint="eastAsia"/>
          <w:b/>
          <w:bCs/>
          <w:sz w:val="32"/>
          <w:szCs w:val="32"/>
        </w:rPr>
        <w:t>绩效评价指标分析</w:t>
      </w:r>
    </w:p>
    <w:p w:rsidR="00F62A37" w:rsidRDefault="00F62A37" w:rsidP="00F62A3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(一)项目决策情况。项目决策程序合规、过程民主。</w:t>
      </w:r>
    </w:p>
    <w:p w:rsidR="00F62A37" w:rsidRDefault="00F62A37" w:rsidP="00F62A3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(二)项目过程情况。种植村庄周围宜林荒山荒地及毛竹林进行改造，种植中国红山茶花100亩，完成青水畲族乡迎凤山公园周边毛竹林进行改造，种植紫薇、红枫、樱花等景观树种30亩.</w:t>
      </w:r>
    </w:p>
    <w:p w:rsidR="00F62A37" w:rsidRDefault="00F62A37" w:rsidP="00F62A3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(三)项目产出情况。数量指标和质量指标达标。</w:t>
      </w:r>
    </w:p>
    <w:p w:rsidR="00F62A37" w:rsidRDefault="00F62A37" w:rsidP="00F62A37">
      <w:pPr>
        <w:ind w:firstLineChars="200" w:firstLine="640"/>
        <w:jc w:val="left"/>
        <w:rPr>
          <w:rFonts w:ascii="仿宋_GB2312" w:eastAsia="仿宋_GB2312" w:hAnsi="仿宋_GB2312" w:cs="仿宋_GB2312"/>
          <w:color w:val="C00000"/>
          <w:sz w:val="32"/>
          <w:szCs w:val="32"/>
        </w:rPr>
      </w:pPr>
      <w:r>
        <w:rPr>
          <w:rFonts w:ascii="仿宋_GB2312" w:eastAsia="仿宋_GB2312" w:hAnsi="仿宋_GB2312" w:cs="仿宋_GB2312" w:hint="eastAsia"/>
          <w:sz w:val="32"/>
          <w:szCs w:val="32"/>
        </w:rPr>
        <w:t>(四)项目效益情况。生态效益和社会效益明显。</w:t>
      </w:r>
    </w:p>
    <w:p w:rsidR="00F62A37" w:rsidRDefault="006217F1" w:rsidP="00F62A3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w:t>
      </w:r>
      <w:r w:rsidR="00F62A37">
        <w:rPr>
          <w:rFonts w:ascii="仿宋_GB2312" w:eastAsia="仿宋_GB2312" w:hAnsi="仿宋_GB2312" w:cs="仿宋_GB2312" w:hint="eastAsia"/>
          <w:b/>
          <w:bCs/>
          <w:sz w:val="32"/>
          <w:szCs w:val="32"/>
        </w:rPr>
        <w:t>、主要经验及做法、存在的问题及原因分析。</w:t>
      </w:r>
      <w:r w:rsidR="00F62A37">
        <w:rPr>
          <w:rFonts w:ascii="仿宋_GB2312" w:eastAsia="仿宋_GB2312" w:hAnsi="仿宋_GB2312" w:cs="仿宋_GB2312" w:hint="eastAsia"/>
          <w:sz w:val="32"/>
          <w:szCs w:val="32"/>
        </w:rPr>
        <w:t>项目资金未到位；前期项目进度较慢，项目设计占用时间过多，影响项目整体进度；乡镇财力有限，资金短缺，项目后期管护需继续投入资金。</w:t>
      </w:r>
    </w:p>
    <w:p w:rsidR="00F62A37" w:rsidRDefault="006217F1" w:rsidP="00F62A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w:t>
      </w:r>
      <w:r w:rsidR="00F62A37">
        <w:rPr>
          <w:rFonts w:ascii="仿宋_GB2312" w:eastAsia="仿宋_GB2312" w:hAnsi="仿宋_GB2312" w:cs="仿宋_GB2312" w:hint="eastAsia"/>
          <w:b/>
          <w:bCs/>
          <w:sz w:val="32"/>
          <w:szCs w:val="32"/>
        </w:rPr>
        <w:t>、有关建议</w:t>
      </w:r>
      <w:r w:rsidR="00F62A37">
        <w:rPr>
          <w:rFonts w:ascii="仿宋_GB2312" w:eastAsia="仿宋_GB2312" w:hAnsi="仿宋_GB2312" w:cs="仿宋_GB2312" w:hint="eastAsia"/>
          <w:sz w:val="32"/>
          <w:szCs w:val="32"/>
        </w:rPr>
        <w:t>。项目资金及时到位；争取上级支持，加大项目资金投入；项目施工完成后，加强项目建设后期管理，加强养护管理资金投入。</w:t>
      </w:r>
    </w:p>
    <w:p w:rsidR="00F62A37" w:rsidRDefault="00F62A37" w:rsidP="00587674">
      <w:pPr>
        <w:rPr>
          <w:rFonts w:ascii="仿宋_GB2312" w:eastAsia="仿宋_GB2312" w:hAnsi="仿宋_GB2312" w:cs="仿宋_GB2312"/>
          <w:b/>
          <w:sz w:val="36"/>
          <w:szCs w:val="32"/>
        </w:rPr>
      </w:pPr>
    </w:p>
    <w:p w:rsidR="00F62A37" w:rsidRDefault="00F62A37" w:rsidP="000D63D2">
      <w:pPr>
        <w:ind w:firstLineChars="200" w:firstLine="720"/>
        <w:jc w:val="center"/>
        <w:rPr>
          <w:rFonts w:ascii="仿宋_GB2312" w:eastAsia="仿宋_GB2312" w:hAnsi="仿宋_GB2312" w:cs="仿宋_GB2312"/>
          <w:b/>
          <w:sz w:val="36"/>
          <w:szCs w:val="32"/>
        </w:rPr>
      </w:pPr>
      <w:r>
        <w:rPr>
          <w:rFonts w:ascii="仿宋_GB2312" w:eastAsia="仿宋_GB2312" w:hAnsi="仿宋_GB2312" w:cs="仿宋_GB2312" w:hint="eastAsia"/>
          <w:b/>
          <w:sz w:val="36"/>
          <w:szCs w:val="32"/>
        </w:rPr>
        <w:lastRenderedPageBreak/>
        <w:t>2、竹产业一二三产业融合发展</w:t>
      </w:r>
    </w:p>
    <w:p w:rsidR="00F62A37" w:rsidRPr="00F62A37" w:rsidRDefault="00F62A37" w:rsidP="00F62A37">
      <w:pPr>
        <w:pStyle w:val="a6"/>
        <w:numPr>
          <w:ilvl w:val="0"/>
          <w:numId w:val="3"/>
        </w:numPr>
        <w:ind w:firstLineChars="0"/>
        <w:jc w:val="left"/>
        <w:rPr>
          <w:rFonts w:ascii="仿宋" w:eastAsia="仿宋" w:hAnsi="仿宋" w:cs="方正黑体_GBK"/>
          <w:b/>
          <w:color w:val="000000"/>
          <w:sz w:val="32"/>
          <w:szCs w:val="32"/>
        </w:rPr>
      </w:pPr>
      <w:r w:rsidRPr="00F62A37">
        <w:rPr>
          <w:rFonts w:ascii="仿宋" w:eastAsia="仿宋" w:hAnsi="仿宋" w:cs="方正黑体_GBK" w:hint="eastAsia"/>
          <w:b/>
          <w:color w:val="000000"/>
          <w:sz w:val="32"/>
          <w:szCs w:val="32"/>
        </w:rPr>
        <w:t>基本情况</w:t>
      </w:r>
    </w:p>
    <w:p w:rsidR="00F62A37" w:rsidRPr="00F62A37" w:rsidRDefault="00F62A37" w:rsidP="00F62A37">
      <w:pPr>
        <w:pStyle w:val="a6"/>
        <w:widowControl/>
        <w:numPr>
          <w:ilvl w:val="0"/>
          <w:numId w:val="4"/>
        </w:num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0"/>
        <w:jc w:val="left"/>
        <w:rPr>
          <w:rFonts w:ascii="仿宋" w:eastAsia="仿宋" w:hAnsi="仿宋" w:cs="CESI楷体-GB2312"/>
          <w:b/>
          <w:bCs/>
          <w:color w:val="000000"/>
          <w:sz w:val="32"/>
          <w:szCs w:val="32"/>
        </w:rPr>
      </w:pPr>
      <w:r w:rsidRPr="00F62A37">
        <w:rPr>
          <w:rFonts w:ascii="仿宋" w:eastAsia="仿宋" w:hAnsi="仿宋" w:cs="方正黑体_GBK" w:hint="eastAsia"/>
          <w:b/>
          <w:color w:val="000000"/>
          <w:sz w:val="32"/>
          <w:szCs w:val="32"/>
        </w:rPr>
        <w:t>项目概况</w:t>
      </w:r>
    </w:p>
    <w:p w:rsidR="00F62A37" w:rsidRPr="00F62A37" w:rsidRDefault="00F62A37" w:rsidP="00F62A37">
      <w:pPr>
        <w:spacing w:line="540" w:lineRule="exact"/>
        <w:ind w:firstLineChars="200" w:firstLine="643"/>
        <w:rPr>
          <w:rFonts w:ascii="仿宋" w:eastAsia="仿宋" w:hAnsi="仿宋"/>
          <w:color w:val="000000"/>
          <w:sz w:val="32"/>
          <w:szCs w:val="32"/>
        </w:rPr>
      </w:pPr>
      <w:r w:rsidRPr="00F62A37">
        <w:rPr>
          <w:rFonts w:ascii="仿宋" w:eastAsia="仿宋" w:hAnsi="仿宋" w:cs="宋体" w:hint="eastAsia"/>
          <w:b/>
          <w:sz w:val="32"/>
          <w:szCs w:val="32"/>
        </w:rPr>
        <w:t>1.实施背景：</w:t>
      </w:r>
      <w:r w:rsidRPr="00F62A37">
        <w:rPr>
          <w:rFonts w:ascii="仿宋" w:eastAsia="仿宋" w:hAnsi="仿宋" w:hint="eastAsia"/>
          <w:color w:val="000000"/>
          <w:sz w:val="32"/>
          <w:szCs w:val="32"/>
        </w:rPr>
        <w:t>根据《福建省财政厅 福建省林业厅关于下达 2022 年省级财 政林业专项资金(县市第一批)的通知》(闽财资环指〔2022〕6号)文件精神，为全面发挥永安市竹资源优势，促进竹产业一二三产融合发展，实行财政扶持政策。</w:t>
      </w:r>
    </w:p>
    <w:p w:rsidR="00F62A37" w:rsidRPr="00F62A37" w:rsidRDefault="00F62A37" w:rsidP="00F62A37">
      <w:pPr>
        <w:spacing w:line="540" w:lineRule="exact"/>
        <w:ind w:firstLineChars="200" w:firstLine="643"/>
        <w:rPr>
          <w:rFonts w:ascii="仿宋" w:eastAsia="仿宋" w:hAnsi="仿宋"/>
          <w:color w:val="000000"/>
          <w:sz w:val="32"/>
          <w:szCs w:val="32"/>
        </w:rPr>
      </w:pPr>
      <w:r w:rsidRPr="00F62A37">
        <w:rPr>
          <w:rFonts w:ascii="仿宋" w:eastAsia="仿宋" w:hAnsi="仿宋" w:cs="宋体" w:hint="eastAsia"/>
          <w:b/>
          <w:sz w:val="32"/>
          <w:szCs w:val="32"/>
        </w:rPr>
        <w:t>2.主要内容及实施资金使用情况：</w:t>
      </w:r>
      <w:r w:rsidRPr="00F62A37">
        <w:rPr>
          <w:rFonts w:ascii="仿宋" w:eastAsia="仿宋" w:hAnsi="仿宋" w:hint="eastAsia"/>
          <w:color w:val="000000"/>
          <w:sz w:val="32"/>
          <w:szCs w:val="32"/>
        </w:rPr>
        <w:t>通过一二三产业联动与融合，全面提升竹林可持续经营水平和产业化程度，通过重点支持龙头企业的设备升级与技政创新，扩大永安竹业品牌影响力，推进产业结构调整升级，以竹产业高质量发展夯实脱贫攻坚成果，助力乡村振兴发展，为实现从竹资源大市到竹产业强市的转变奠定扎实基础。202</w:t>
      </w:r>
      <w:r w:rsidRPr="00F62A37">
        <w:rPr>
          <w:rFonts w:ascii="仿宋" w:eastAsia="仿宋" w:hAnsi="仿宋"/>
          <w:color w:val="000000"/>
          <w:sz w:val="32"/>
          <w:szCs w:val="32"/>
        </w:rPr>
        <w:t>2</w:t>
      </w:r>
      <w:r w:rsidRPr="00F62A37">
        <w:rPr>
          <w:rFonts w:ascii="仿宋" w:eastAsia="仿宋" w:hAnsi="仿宋" w:hint="eastAsia"/>
          <w:color w:val="000000"/>
          <w:sz w:val="32"/>
          <w:szCs w:val="32"/>
        </w:rPr>
        <w:t>年预算安排补助资金</w:t>
      </w:r>
      <w:r w:rsidRPr="00F62A37">
        <w:rPr>
          <w:rFonts w:ascii="仿宋" w:eastAsia="仿宋" w:hAnsi="仿宋"/>
          <w:color w:val="000000"/>
          <w:sz w:val="32"/>
          <w:szCs w:val="32"/>
        </w:rPr>
        <w:t>600</w:t>
      </w:r>
      <w:r w:rsidRPr="00F62A37">
        <w:rPr>
          <w:rFonts w:ascii="仿宋" w:eastAsia="仿宋" w:hAnsi="仿宋" w:hint="eastAsia"/>
          <w:color w:val="000000"/>
          <w:sz w:val="32"/>
          <w:szCs w:val="32"/>
        </w:rPr>
        <w:t>万元，目前资金到位0元，实际执行0元。</w:t>
      </w:r>
    </w:p>
    <w:p w:rsidR="00F62A37" w:rsidRPr="00F62A37" w:rsidRDefault="00F62A37" w:rsidP="00F62A37">
      <w:pPr>
        <w:pStyle w:val="a7"/>
        <w:ind w:firstLineChars="98" w:firstLine="315"/>
        <w:rPr>
          <w:rFonts w:ascii="仿宋" w:eastAsia="仿宋" w:hAnsi="仿宋"/>
          <w:sz w:val="32"/>
          <w:szCs w:val="32"/>
        </w:rPr>
      </w:pPr>
      <w:r w:rsidRPr="00F62A37">
        <w:rPr>
          <w:rFonts w:ascii="仿宋" w:eastAsia="仿宋" w:hAnsi="仿宋" w:cs="方正黑体_GBK" w:hint="eastAsia"/>
          <w:b/>
          <w:color w:val="000000"/>
          <w:kern w:val="0"/>
          <w:sz w:val="32"/>
          <w:szCs w:val="32"/>
        </w:rPr>
        <w:t>（二）项目绩效目标</w:t>
      </w:r>
    </w:p>
    <w:p w:rsidR="00F62A37" w:rsidRPr="00F62A37" w:rsidRDefault="00F62A37" w:rsidP="00F62A37">
      <w:pPr>
        <w:widowControl/>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rPr>
          <w:rFonts w:ascii="仿宋" w:eastAsia="仿宋" w:hAnsi="仿宋"/>
          <w:color w:val="000000"/>
          <w:sz w:val="32"/>
          <w:szCs w:val="32"/>
        </w:rPr>
      </w:pPr>
      <w:r w:rsidRPr="00F62A37">
        <w:rPr>
          <w:rFonts w:ascii="仿宋" w:eastAsia="仿宋" w:hAnsi="仿宋" w:hint="eastAsia"/>
          <w:color w:val="000000"/>
          <w:sz w:val="32"/>
          <w:szCs w:val="32"/>
        </w:rPr>
        <w:t>预期目标：全市竹业产值</w:t>
      </w:r>
      <w:r w:rsidRPr="00F62A37">
        <w:rPr>
          <w:rFonts w:ascii="仿宋" w:eastAsia="仿宋" w:hAnsi="仿宋"/>
          <w:color w:val="000000"/>
          <w:sz w:val="32"/>
          <w:szCs w:val="32"/>
        </w:rPr>
        <w:t>95.5</w:t>
      </w:r>
      <w:r w:rsidRPr="00F62A37">
        <w:rPr>
          <w:rFonts w:ascii="仿宋" w:eastAsia="仿宋" w:hAnsi="仿宋" w:hint="eastAsia"/>
          <w:color w:val="000000"/>
          <w:sz w:val="32"/>
          <w:szCs w:val="32"/>
        </w:rPr>
        <w:t>亿元其中：一产产值</w:t>
      </w:r>
      <w:r w:rsidRPr="00F62A37">
        <w:rPr>
          <w:rFonts w:ascii="仿宋" w:eastAsia="仿宋" w:hAnsi="仿宋"/>
          <w:color w:val="000000"/>
          <w:sz w:val="32"/>
          <w:szCs w:val="32"/>
        </w:rPr>
        <w:t>16</w:t>
      </w:r>
      <w:r w:rsidRPr="00F62A37">
        <w:rPr>
          <w:rFonts w:ascii="仿宋" w:eastAsia="仿宋" w:hAnsi="仿宋" w:hint="eastAsia"/>
          <w:color w:val="000000"/>
          <w:sz w:val="32"/>
          <w:szCs w:val="32"/>
        </w:rPr>
        <w:t>亿元，占总产值</w:t>
      </w:r>
      <w:r w:rsidRPr="00F62A37">
        <w:rPr>
          <w:rFonts w:ascii="仿宋" w:eastAsia="仿宋" w:hAnsi="仿宋"/>
          <w:color w:val="000000"/>
          <w:sz w:val="32"/>
          <w:szCs w:val="32"/>
        </w:rPr>
        <w:t>16.84</w:t>
      </w:r>
      <w:r w:rsidRPr="00F62A37">
        <w:rPr>
          <w:rFonts w:ascii="仿宋" w:eastAsia="仿宋" w:hAnsi="仿宋" w:hint="eastAsia"/>
          <w:color w:val="000000"/>
          <w:sz w:val="32"/>
          <w:szCs w:val="32"/>
        </w:rPr>
        <w:t>%；二产产值</w:t>
      </w:r>
      <w:r w:rsidRPr="00F62A37">
        <w:rPr>
          <w:rFonts w:ascii="仿宋" w:eastAsia="仿宋" w:hAnsi="仿宋"/>
          <w:color w:val="000000"/>
          <w:sz w:val="32"/>
          <w:szCs w:val="32"/>
        </w:rPr>
        <w:t>76</w:t>
      </w:r>
      <w:r w:rsidRPr="00F62A37">
        <w:rPr>
          <w:rFonts w:ascii="仿宋" w:eastAsia="仿宋" w:hAnsi="仿宋" w:hint="eastAsia"/>
          <w:color w:val="000000"/>
          <w:sz w:val="32"/>
          <w:szCs w:val="32"/>
        </w:rPr>
        <w:t>亿元，占总产值</w:t>
      </w:r>
      <w:r w:rsidRPr="00F62A37">
        <w:rPr>
          <w:rFonts w:ascii="仿宋" w:eastAsia="仿宋" w:hAnsi="仿宋"/>
          <w:color w:val="000000"/>
          <w:sz w:val="32"/>
          <w:szCs w:val="32"/>
        </w:rPr>
        <w:t>79.48</w:t>
      </w:r>
      <w:r w:rsidRPr="00F62A37">
        <w:rPr>
          <w:rFonts w:ascii="仿宋" w:eastAsia="仿宋" w:hAnsi="仿宋" w:hint="eastAsia"/>
          <w:color w:val="000000"/>
          <w:sz w:val="32"/>
          <w:szCs w:val="32"/>
        </w:rPr>
        <w:t>%；三产</w:t>
      </w:r>
      <w:r w:rsidRPr="00F62A37">
        <w:rPr>
          <w:rFonts w:ascii="仿宋" w:eastAsia="仿宋" w:hAnsi="仿宋"/>
          <w:color w:val="000000"/>
          <w:sz w:val="32"/>
          <w:szCs w:val="32"/>
        </w:rPr>
        <w:t>3.5</w:t>
      </w:r>
      <w:r w:rsidRPr="00F62A37">
        <w:rPr>
          <w:rFonts w:ascii="仿宋" w:eastAsia="仿宋" w:hAnsi="仿宋" w:hint="eastAsia"/>
          <w:color w:val="000000"/>
          <w:sz w:val="32"/>
          <w:szCs w:val="32"/>
        </w:rPr>
        <w:t>亿元，占总产值</w:t>
      </w:r>
      <w:r w:rsidRPr="00F62A37">
        <w:rPr>
          <w:rFonts w:ascii="仿宋" w:eastAsia="仿宋" w:hAnsi="仿宋"/>
          <w:color w:val="000000"/>
          <w:sz w:val="32"/>
          <w:szCs w:val="32"/>
        </w:rPr>
        <w:t>3.68</w:t>
      </w:r>
      <w:r w:rsidRPr="00F62A37">
        <w:rPr>
          <w:rFonts w:ascii="仿宋" w:eastAsia="仿宋" w:hAnsi="仿宋" w:hint="eastAsia"/>
          <w:color w:val="000000"/>
          <w:sz w:val="32"/>
          <w:szCs w:val="32"/>
        </w:rPr>
        <w:t>%。</w:t>
      </w:r>
    </w:p>
    <w:p w:rsidR="00F62A37" w:rsidRPr="00F62A37" w:rsidRDefault="00F62A37" w:rsidP="00F62A37">
      <w:pPr>
        <w:widowControl/>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rPr>
          <w:rFonts w:ascii="仿宋" w:eastAsia="仿宋" w:hAnsi="仿宋"/>
          <w:color w:val="000000"/>
          <w:sz w:val="32"/>
          <w:szCs w:val="32"/>
        </w:rPr>
      </w:pPr>
      <w:r w:rsidRPr="00F62A37">
        <w:rPr>
          <w:rFonts w:ascii="仿宋" w:eastAsia="仿宋" w:hAnsi="仿宋" w:hint="eastAsia"/>
          <w:color w:val="000000"/>
          <w:sz w:val="32"/>
          <w:szCs w:val="32"/>
        </w:rPr>
        <w:t>目标完成情况：全市实现竹业产值</w:t>
      </w:r>
      <w:r w:rsidRPr="00F62A37">
        <w:rPr>
          <w:rFonts w:ascii="仿宋" w:eastAsia="仿宋" w:hAnsi="仿宋"/>
          <w:color w:val="000000"/>
          <w:sz w:val="32"/>
          <w:szCs w:val="32"/>
        </w:rPr>
        <w:t>97.8</w:t>
      </w:r>
      <w:r w:rsidRPr="00F62A37">
        <w:rPr>
          <w:rFonts w:ascii="仿宋" w:eastAsia="仿宋" w:hAnsi="仿宋" w:hint="eastAsia"/>
          <w:color w:val="000000"/>
          <w:sz w:val="32"/>
          <w:szCs w:val="32"/>
        </w:rPr>
        <w:t>亿元，其中：一产</w:t>
      </w:r>
      <w:r w:rsidRPr="00F62A37">
        <w:rPr>
          <w:rFonts w:ascii="仿宋" w:eastAsia="仿宋" w:hAnsi="仿宋"/>
          <w:color w:val="000000"/>
          <w:sz w:val="32"/>
          <w:szCs w:val="32"/>
        </w:rPr>
        <w:t>16.1</w:t>
      </w:r>
      <w:r w:rsidRPr="00F62A37">
        <w:rPr>
          <w:rFonts w:ascii="仿宋" w:eastAsia="仿宋" w:hAnsi="仿宋" w:hint="eastAsia"/>
          <w:color w:val="000000"/>
          <w:sz w:val="32"/>
          <w:szCs w:val="32"/>
        </w:rPr>
        <w:t>亿元，占总产值16%；二产产值为</w:t>
      </w:r>
      <w:r w:rsidRPr="00F62A37">
        <w:rPr>
          <w:rFonts w:ascii="仿宋" w:eastAsia="仿宋" w:hAnsi="仿宋"/>
          <w:color w:val="000000"/>
          <w:sz w:val="32"/>
          <w:szCs w:val="32"/>
        </w:rPr>
        <w:t>77.7</w:t>
      </w:r>
      <w:r w:rsidRPr="00F62A37">
        <w:rPr>
          <w:rFonts w:ascii="仿宋" w:eastAsia="仿宋" w:hAnsi="仿宋" w:hint="eastAsia"/>
          <w:color w:val="000000"/>
          <w:sz w:val="32"/>
          <w:szCs w:val="32"/>
        </w:rPr>
        <w:t>亿元，占总产值</w:t>
      </w:r>
      <w:r w:rsidRPr="00F62A37">
        <w:rPr>
          <w:rFonts w:ascii="仿宋" w:eastAsia="仿宋" w:hAnsi="仿宋"/>
          <w:color w:val="000000"/>
          <w:sz w:val="32"/>
          <w:szCs w:val="32"/>
        </w:rPr>
        <w:t>80</w:t>
      </w:r>
      <w:r w:rsidRPr="00F62A37">
        <w:rPr>
          <w:rFonts w:ascii="仿宋" w:eastAsia="仿宋" w:hAnsi="仿宋" w:hint="eastAsia"/>
          <w:color w:val="000000"/>
          <w:sz w:val="32"/>
          <w:szCs w:val="32"/>
        </w:rPr>
        <w:t>%；三产</w:t>
      </w:r>
      <w:r w:rsidRPr="00F62A37">
        <w:rPr>
          <w:rFonts w:ascii="仿宋" w:eastAsia="仿宋" w:hAnsi="仿宋"/>
          <w:color w:val="000000"/>
          <w:sz w:val="32"/>
          <w:szCs w:val="32"/>
        </w:rPr>
        <w:t>4</w:t>
      </w:r>
      <w:r w:rsidRPr="00F62A37">
        <w:rPr>
          <w:rFonts w:ascii="仿宋" w:eastAsia="仿宋" w:hAnsi="仿宋" w:hint="eastAsia"/>
          <w:color w:val="000000"/>
          <w:sz w:val="32"/>
          <w:szCs w:val="32"/>
        </w:rPr>
        <w:t>亿元。占总产值4%。</w:t>
      </w:r>
    </w:p>
    <w:p w:rsidR="00F62A37" w:rsidRPr="00F62A37" w:rsidRDefault="00F62A37" w:rsidP="00F62A37">
      <w:pPr>
        <w:pStyle w:val="a7"/>
        <w:ind w:firstLineChars="200" w:firstLine="640"/>
        <w:rPr>
          <w:rFonts w:ascii="仿宋" w:eastAsia="仿宋" w:hAnsi="仿宋"/>
          <w:color w:val="000000"/>
          <w:sz w:val="32"/>
          <w:szCs w:val="32"/>
        </w:rPr>
      </w:pPr>
      <w:r w:rsidRPr="00F62A37">
        <w:rPr>
          <w:rFonts w:ascii="仿宋" w:eastAsia="仿宋" w:hAnsi="仿宋" w:hint="eastAsia"/>
          <w:color w:val="000000"/>
          <w:sz w:val="32"/>
          <w:szCs w:val="32"/>
        </w:rPr>
        <w:lastRenderedPageBreak/>
        <w:t>1.经济效益：通过项目实施，一定程度上带动了企业销售；增加了林农收益，提高了农民积极性。</w:t>
      </w:r>
    </w:p>
    <w:p w:rsidR="00F62A37" w:rsidRPr="00F62A37" w:rsidRDefault="00F62A37" w:rsidP="00F62A37">
      <w:pPr>
        <w:widowControl/>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rPr>
          <w:rFonts w:ascii="仿宋" w:eastAsia="仿宋" w:hAnsi="仿宋"/>
          <w:color w:val="000000"/>
          <w:sz w:val="32"/>
          <w:szCs w:val="32"/>
        </w:rPr>
      </w:pPr>
      <w:r w:rsidRPr="00F62A37">
        <w:rPr>
          <w:rFonts w:ascii="仿宋" w:eastAsia="仿宋" w:hAnsi="仿宋" w:hint="eastAsia"/>
          <w:color w:val="000000"/>
          <w:sz w:val="32"/>
          <w:szCs w:val="32"/>
        </w:rPr>
        <w:t>2.社会效益：通过竹产业项目的实施，提高了我市竹业的知名度，企业产能进一步提高，竹品牌效应进一步体现。</w:t>
      </w:r>
    </w:p>
    <w:p w:rsidR="00F62A37" w:rsidRPr="00F62A37" w:rsidRDefault="00F62A37" w:rsidP="00F62A37">
      <w:pPr>
        <w:spacing w:line="540" w:lineRule="exact"/>
        <w:ind w:firstLineChars="200" w:firstLine="640"/>
        <w:rPr>
          <w:rFonts w:ascii="仿宋" w:eastAsia="仿宋" w:hAnsi="仿宋"/>
          <w:color w:val="000000"/>
          <w:sz w:val="32"/>
          <w:szCs w:val="32"/>
        </w:rPr>
      </w:pPr>
      <w:r w:rsidRPr="00F62A37">
        <w:rPr>
          <w:rFonts w:ascii="仿宋" w:eastAsia="仿宋" w:hAnsi="仿宋" w:hint="eastAsia"/>
          <w:color w:val="000000"/>
          <w:sz w:val="32"/>
          <w:szCs w:val="32"/>
        </w:rPr>
        <w:t>3.环境效益：积极推进“以竹代塑、以竹代木”等一系列规划，大幅度减少了林木采伐，对保护森林生态系统和生物多样性,调节改善区域气候、涵养水源、防止水土流失、减轻自然灾害、净化空气以及人类健康和林区经济发展等方面发挥预期作用。</w:t>
      </w:r>
    </w:p>
    <w:p w:rsidR="00F62A37" w:rsidRPr="00F62A37" w:rsidRDefault="00F62A37" w:rsidP="00F62A37">
      <w:pPr>
        <w:widowControl/>
        <w:ind w:firstLineChars="196" w:firstLine="630"/>
        <w:jc w:val="left"/>
        <w:rPr>
          <w:rFonts w:ascii="仿宋" w:eastAsia="仿宋" w:hAnsi="仿宋" w:cs="方正黑体_GBK"/>
          <w:b/>
          <w:color w:val="000000"/>
          <w:sz w:val="32"/>
          <w:szCs w:val="32"/>
        </w:rPr>
      </w:pPr>
      <w:r w:rsidRPr="00F62A37">
        <w:rPr>
          <w:rFonts w:ascii="仿宋" w:eastAsia="仿宋" w:hAnsi="仿宋" w:cs="方正黑体_GBK" w:hint="eastAsia"/>
          <w:b/>
          <w:color w:val="000000"/>
          <w:sz w:val="32"/>
          <w:szCs w:val="32"/>
        </w:rPr>
        <w:t>二、绩效评价工作开展情况</w:t>
      </w:r>
    </w:p>
    <w:p w:rsidR="00F62A37" w:rsidRPr="00F62A37" w:rsidRDefault="00F62A37" w:rsidP="00F62A37">
      <w:pPr>
        <w:widowControl/>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rPr>
          <w:rFonts w:ascii="仿宋" w:eastAsia="仿宋" w:hAnsi="仿宋" w:cs="宋体"/>
          <w:sz w:val="32"/>
          <w:szCs w:val="32"/>
        </w:rPr>
      </w:pPr>
      <w:r w:rsidRPr="00F62A37">
        <w:rPr>
          <w:rFonts w:ascii="仿宋" w:eastAsia="仿宋" w:hAnsi="仿宋" w:hint="eastAsia"/>
          <w:color w:val="000000"/>
          <w:sz w:val="32"/>
          <w:szCs w:val="32"/>
        </w:rPr>
        <w:t>评价指标有细化、有量化，部分指标为定性指标不可量化。如产出指标细化为数量、质量、成本和时效目标可量化；服务对象满意度目标也可量化。效益指标为定性指标，具体细化为经济效益、社会效益、环境效益和可持续效益目标，均为定性指标。</w:t>
      </w:r>
    </w:p>
    <w:p w:rsidR="00F62A37" w:rsidRPr="00F62A37" w:rsidRDefault="00F62A37" w:rsidP="00F62A37">
      <w:pPr>
        <w:widowControl/>
        <w:ind w:firstLineChars="196" w:firstLine="630"/>
        <w:jc w:val="left"/>
        <w:rPr>
          <w:rFonts w:ascii="仿宋" w:eastAsia="仿宋" w:hAnsi="仿宋" w:cs="方正黑体_GBK"/>
          <w:b/>
          <w:color w:val="000000"/>
          <w:sz w:val="32"/>
          <w:szCs w:val="32"/>
        </w:rPr>
      </w:pPr>
      <w:r w:rsidRPr="00F62A37">
        <w:rPr>
          <w:rFonts w:ascii="仿宋" w:eastAsia="仿宋" w:hAnsi="仿宋" w:cs="方正黑体_GBK" w:hint="eastAsia"/>
          <w:b/>
          <w:color w:val="000000"/>
          <w:sz w:val="32"/>
          <w:szCs w:val="32"/>
        </w:rPr>
        <w:t>三、综合评价情况及评价结论</w:t>
      </w:r>
    </w:p>
    <w:p w:rsidR="00F62A37" w:rsidRPr="00F62A37" w:rsidRDefault="00F62A37" w:rsidP="00F62A37">
      <w:pPr>
        <w:widowControl/>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rPr>
          <w:rFonts w:ascii="仿宋" w:eastAsia="仿宋" w:hAnsi="仿宋"/>
          <w:color w:val="000000"/>
          <w:sz w:val="32"/>
          <w:szCs w:val="32"/>
        </w:rPr>
      </w:pPr>
      <w:r w:rsidRPr="00F62A37">
        <w:rPr>
          <w:rFonts w:ascii="仿宋" w:eastAsia="仿宋" w:hAnsi="仿宋" w:hint="eastAsia"/>
          <w:color w:val="000000"/>
          <w:sz w:val="32"/>
          <w:szCs w:val="32"/>
        </w:rPr>
        <w:t>项目的自评根据设计的自评指标体系，采用现场核验、查看内业等方法开展绩效自评，经评价等级为良，建议继续进行专项补助资金安排。</w:t>
      </w:r>
    </w:p>
    <w:p w:rsidR="00F62A37" w:rsidRPr="00F62A37" w:rsidRDefault="00F62A37" w:rsidP="00F62A37">
      <w:pPr>
        <w:widowControl/>
        <w:ind w:firstLineChars="196" w:firstLine="630"/>
        <w:jc w:val="left"/>
        <w:rPr>
          <w:rFonts w:ascii="仿宋" w:eastAsia="仿宋" w:hAnsi="仿宋" w:cs="方正黑体_GBK"/>
          <w:b/>
          <w:color w:val="000000"/>
          <w:sz w:val="32"/>
          <w:szCs w:val="32"/>
        </w:rPr>
      </w:pPr>
      <w:r w:rsidRPr="00F62A37">
        <w:rPr>
          <w:rFonts w:ascii="仿宋" w:eastAsia="仿宋" w:hAnsi="仿宋" w:cs="方正黑体_GBK" w:hint="eastAsia"/>
          <w:b/>
          <w:color w:val="000000"/>
          <w:sz w:val="32"/>
          <w:szCs w:val="32"/>
        </w:rPr>
        <w:t>四、绩效评价指标分析</w:t>
      </w:r>
    </w:p>
    <w:p w:rsidR="00F62A37" w:rsidRPr="00F62A37" w:rsidRDefault="00F62A37" w:rsidP="00F62A37">
      <w:pPr>
        <w:ind w:firstLineChars="196" w:firstLine="627"/>
        <w:rPr>
          <w:rFonts w:ascii="仿宋" w:eastAsia="仿宋" w:hAnsi="仿宋"/>
          <w:color w:val="000000"/>
          <w:sz w:val="32"/>
          <w:szCs w:val="32"/>
        </w:rPr>
      </w:pPr>
      <w:r w:rsidRPr="00F62A37">
        <w:rPr>
          <w:rFonts w:ascii="仿宋" w:eastAsia="仿宋" w:hAnsi="仿宋" w:hint="eastAsia"/>
          <w:color w:val="000000"/>
          <w:sz w:val="32"/>
          <w:szCs w:val="32"/>
        </w:rPr>
        <w:t>竹产业新产品增加≥</w:t>
      </w:r>
      <w:r w:rsidRPr="00F62A37">
        <w:rPr>
          <w:rFonts w:ascii="仿宋" w:eastAsia="仿宋" w:hAnsi="仿宋"/>
          <w:color w:val="000000"/>
          <w:sz w:val="32"/>
          <w:szCs w:val="32"/>
        </w:rPr>
        <w:t>1</w:t>
      </w:r>
      <w:r w:rsidRPr="00F62A37">
        <w:rPr>
          <w:rFonts w:ascii="仿宋" w:eastAsia="仿宋" w:hAnsi="仿宋" w:hint="eastAsia"/>
          <w:color w:val="000000"/>
          <w:sz w:val="32"/>
          <w:szCs w:val="32"/>
        </w:rPr>
        <w:t>。</w:t>
      </w:r>
    </w:p>
    <w:p w:rsidR="00F62A37" w:rsidRPr="00F62A37" w:rsidRDefault="00F62A37" w:rsidP="00F62A37">
      <w:pPr>
        <w:ind w:firstLineChars="196" w:firstLine="630"/>
        <w:rPr>
          <w:rFonts w:ascii="仿宋" w:eastAsia="仿宋" w:hAnsi="仿宋" w:cs="方正黑体_GBK"/>
          <w:b/>
          <w:color w:val="000000"/>
          <w:sz w:val="32"/>
          <w:szCs w:val="32"/>
        </w:rPr>
      </w:pPr>
      <w:r w:rsidRPr="00F62A37">
        <w:rPr>
          <w:rFonts w:ascii="仿宋" w:eastAsia="仿宋" w:hAnsi="仿宋" w:cs="方正黑体_GBK" w:hint="eastAsia"/>
          <w:b/>
          <w:color w:val="000000"/>
          <w:sz w:val="32"/>
          <w:szCs w:val="32"/>
        </w:rPr>
        <w:t>五、主要经验及做法</w:t>
      </w:r>
    </w:p>
    <w:p w:rsidR="00F62A37" w:rsidRPr="00F62A37" w:rsidRDefault="00F62A37" w:rsidP="00F62A37">
      <w:pPr>
        <w:widowControl/>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rPr>
          <w:rFonts w:ascii="仿宋" w:eastAsia="仿宋" w:hAnsi="仿宋"/>
          <w:color w:val="000000"/>
          <w:sz w:val="32"/>
          <w:szCs w:val="32"/>
        </w:rPr>
      </w:pPr>
      <w:r w:rsidRPr="00F62A37">
        <w:rPr>
          <w:rFonts w:ascii="仿宋" w:eastAsia="仿宋" w:hAnsi="仿宋" w:hint="eastAsia"/>
          <w:color w:val="000000"/>
          <w:sz w:val="32"/>
          <w:szCs w:val="32"/>
        </w:rPr>
        <w:lastRenderedPageBreak/>
        <w:t>竹产业专项绩效评价工作中组织实施总体上较为规范，绩效人员分工明确，财务制度健全，重视项目资金的绩效。能较客观地反映该项目资金的具体用途，更好的提高了该资金的使用效益。</w:t>
      </w:r>
    </w:p>
    <w:p w:rsidR="00F62A37" w:rsidRPr="00F62A37" w:rsidRDefault="00F62A37" w:rsidP="00F62A37">
      <w:pPr>
        <w:pStyle w:val="a7"/>
        <w:ind w:firstLineChars="199" w:firstLine="639"/>
        <w:rPr>
          <w:rFonts w:ascii="仿宋" w:eastAsia="仿宋" w:hAnsi="仿宋" w:cs="方正黑体_GBK"/>
          <w:b/>
          <w:color w:val="000000"/>
          <w:kern w:val="0"/>
          <w:sz w:val="32"/>
          <w:szCs w:val="32"/>
        </w:rPr>
      </w:pPr>
      <w:r w:rsidRPr="00F62A37">
        <w:rPr>
          <w:rFonts w:ascii="仿宋" w:eastAsia="仿宋" w:hAnsi="仿宋" w:cs="方正黑体_GBK" w:hint="eastAsia"/>
          <w:b/>
          <w:color w:val="000000"/>
          <w:kern w:val="0"/>
          <w:sz w:val="32"/>
          <w:szCs w:val="32"/>
        </w:rPr>
        <w:t>六、存在问题</w:t>
      </w:r>
    </w:p>
    <w:p w:rsidR="00F62A37" w:rsidRPr="00F62A37" w:rsidRDefault="00F62A37" w:rsidP="00F62A37">
      <w:pPr>
        <w:widowControl/>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rPr>
          <w:rFonts w:ascii="仿宋" w:eastAsia="仿宋" w:hAnsi="仿宋"/>
          <w:color w:val="000000"/>
          <w:sz w:val="32"/>
          <w:szCs w:val="32"/>
        </w:rPr>
      </w:pPr>
      <w:r w:rsidRPr="00F62A37">
        <w:rPr>
          <w:rFonts w:ascii="仿宋" w:eastAsia="仿宋" w:hAnsi="仿宋" w:hint="eastAsia"/>
          <w:color w:val="000000"/>
          <w:sz w:val="32"/>
          <w:szCs w:val="32"/>
        </w:rPr>
        <w:t>单位内部控制制度有待完善。尚未完善相关内部控制制度，对于内部科室管理没有全覆盖到各个业务科室，没有渗透到各个业务领域和各个操作环节，大多缺乏系统性和合理性。</w:t>
      </w:r>
    </w:p>
    <w:p w:rsidR="00F62A37" w:rsidRPr="00F62A37" w:rsidRDefault="00F62A37" w:rsidP="00F62A37">
      <w:pPr>
        <w:widowControl/>
        <w:ind w:firstLineChars="199" w:firstLine="639"/>
        <w:jc w:val="left"/>
        <w:rPr>
          <w:rFonts w:ascii="仿宋" w:eastAsia="仿宋" w:hAnsi="仿宋" w:cs="方正黑体_GBK"/>
          <w:b/>
          <w:color w:val="000000"/>
          <w:sz w:val="32"/>
          <w:szCs w:val="32"/>
        </w:rPr>
      </w:pPr>
      <w:r w:rsidRPr="00F62A37">
        <w:rPr>
          <w:rFonts w:ascii="仿宋" w:eastAsia="仿宋" w:hAnsi="仿宋" w:cs="方正黑体_GBK" w:hint="eastAsia"/>
          <w:b/>
          <w:color w:val="000000"/>
          <w:sz w:val="32"/>
          <w:szCs w:val="32"/>
        </w:rPr>
        <w:t>七、有关建议</w:t>
      </w:r>
    </w:p>
    <w:p w:rsidR="00F62A37" w:rsidRDefault="00F62A37" w:rsidP="00F62A37">
      <w:pPr>
        <w:widowControl/>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rPr>
          <w:rFonts w:ascii="仿宋" w:eastAsia="仿宋" w:hAnsi="仿宋"/>
          <w:color w:val="000000"/>
          <w:sz w:val="32"/>
          <w:szCs w:val="32"/>
        </w:rPr>
      </w:pPr>
      <w:r w:rsidRPr="00F62A37">
        <w:rPr>
          <w:rFonts w:ascii="仿宋" w:eastAsia="仿宋" w:hAnsi="仿宋" w:hint="eastAsia"/>
          <w:color w:val="000000"/>
          <w:sz w:val="32"/>
          <w:szCs w:val="32"/>
        </w:rPr>
        <w:t>建立健全内部控制制度，经济责任制度等监督制度，完善资金管理办法。内部控制制度即关系到会计系统对部门单位经济活动反映的正确可靠性，又涉及到部门单位的财产物资的安全完整性。建立一套管理和控制本部门单位内部经济活动的内部控制系统，有助于提高部门单位财产物资的利用率，防范舞弊和腐败风险，保证会计信息质量的及时性和准确性，改善部门单位的财务管理现状。</w:t>
      </w:r>
    </w:p>
    <w:p w:rsidR="000F02F4" w:rsidRPr="00F62A37" w:rsidRDefault="000F02F4" w:rsidP="00F62A37">
      <w:pPr>
        <w:widowControl/>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rPr>
          <w:rFonts w:ascii="仿宋" w:eastAsia="仿宋" w:hAnsi="仿宋"/>
          <w:color w:val="000000"/>
          <w:sz w:val="32"/>
          <w:szCs w:val="32"/>
        </w:rPr>
      </w:pPr>
    </w:p>
    <w:p w:rsidR="000F02F4" w:rsidRDefault="000F02F4" w:rsidP="002E68C9">
      <w:pPr>
        <w:spacing w:afterLines="50" w:line="360" w:lineRule="auto"/>
        <w:ind w:firstLineChars="200" w:firstLine="64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3、林业科技推广</w:t>
      </w:r>
    </w:p>
    <w:p w:rsidR="000F02F4" w:rsidRPr="000F02F4" w:rsidRDefault="000F02F4" w:rsidP="002E68C9">
      <w:pPr>
        <w:spacing w:afterLines="50" w:line="360" w:lineRule="auto"/>
        <w:ind w:firstLineChars="200" w:firstLine="643"/>
        <w:rPr>
          <w:rFonts w:ascii="仿宋" w:eastAsia="仿宋" w:hAnsi="仿宋" w:cs="仿宋_GB2312"/>
          <w:b/>
          <w:sz w:val="32"/>
          <w:szCs w:val="32"/>
        </w:rPr>
      </w:pPr>
      <w:r w:rsidRPr="000F02F4">
        <w:rPr>
          <w:rFonts w:ascii="仿宋" w:eastAsia="仿宋" w:hAnsi="仿宋" w:cs="仿宋_GB2312" w:hint="eastAsia"/>
          <w:b/>
          <w:sz w:val="32"/>
          <w:szCs w:val="32"/>
        </w:rPr>
        <w:t>一、基本情况</w:t>
      </w:r>
    </w:p>
    <w:p w:rsidR="000F02F4" w:rsidRPr="000F02F4" w:rsidRDefault="000F02F4" w:rsidP="000F02F4">
      <w:pPr>
        <w:spacing w:line="480" w:lineRule="auto"/>
        <w:ind w:firstLineChars="200" w:firstLine="643"/>
        <w:rPr>
          <w:rFonts w:ascii="仿宋" w:eastAsia="仿宋" w:hAnsi="仿宋" w:cs="仿宋_GB2312"/>
          <w:b/>
          <w:sz w:val="32"/>
          <w:szCs w:val="32"/>
        </w:rPr>
      </w:pPr>
      <w:r w:rsidRPr="000F02F4">
        <w:rPr>
          <w:rFonts w:ascii="仿宋" w:eastAsia="仿宋" w:hAnsi="仿宋" w:cs="仿宋_GB2312" w:hint="eastAsia"/>
          <w:b/>
          <w:sz w:val="32"/>
          <w:szCs w:val="32"/>
        </w:rPr>
        <w:t>（一）项目概况</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（1）项目背景：根据《福建省财政厅 福建省林业局</w:t>
      </w:r>
      <w:r w:rsidRPr="000F02F4">
        <w:rPr>
          <w:rFonts w:ascii="仿宋" w:eastAsia="仿宋" w:hAnsi="仿宋" w:cs="仿宋_GB2312" w:hint="eastAsia"/>
          <w:sz w:val="32"/>
          <w:szCs w:val="32"/>
        </w:rPr>
        <w:lastRenderedPageBreak/>
        <w:t>关于下达2022年省级财政林业专项资金(市县第三批)的通知》（闽财资环指〔2022〕18号）内容和要求，永安市林业科学技术推广中心承担的永安九龙竹海国家森林公园竹子长期科研基地项目，补助10万元。</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2）主要内容及实施情况：在基地内构建相对完善的科技推广社会化服务体系和组织体系，提出并建设技术推广新机制和新体制，科技成果在基地内推广率达80%以上。目前已在基地内构建了相对完善的科技推广社会化服务体系和组织体系，提出并建设技术推广新机制和新体制，科技成果在基地内推广率达81%以上。</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（3）资金投入和使用情况：10万元资金暂未支出。</w:t>
      </w:r>
    </w:p>
    <w:p w:rsidR="000F02F4" w:rsidRPr="000F02F4" w:rsidRDefault="000F02F4" w:rsidP="000F02F4">
      <w:pPr>
        <w:spacing w:line="480" w:lineRule="auto"/>
        <w:ind w:firstLineChars="200" w:firstLine="643"/>
        <w:rPr>
          <w:rFonts w:ascii="仿宋" w:eastAsia="仿宋" w:hAnsi="仿宋" w:cs="仿宋_GB2312"/>
          <w:b/>
          <w:sz w:val="32"/>
          <w:szCs w:val="32"/>
        </w:rPr>
      </w:pPr>
      <w:r w:rsidRPr="000F02F4">
        <w:rPr>
          <w:rFonts w:ascii="仿宋" w:eastAsia="仿宋" w:hAnsi="仿宋" w:cs="仿宋_GB2312" w:hint="eastAsia"/>
          <w:b/>
          <w:sz w:val="32"/>
          <w:szCs w:val="32"/>
        </w:rPr>
        <w:t>(二)项目绩效目标。</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（1）总体目标：在基地内构建相对完善的科技推广社会化服务体系和组织体系，提出并建设技术推广新机制和新体制，科技成果在基地内推广率达80%以上。</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（2）阶段性目标：已构建了相对完善的科技推广社会化服务体系和组织体系，提出并建设技术推广新机制和新体制，科技成果在基地内推广率达81%以上，10万元资金暂未支出。</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（3）项目绩效目标完成情况</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1）产出指标完成情况分析：</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1.数量目标：已完成补助科研项目1项；推广先进、</w:t>
      </w:r>
      <w:r w:rsidRPr="000F02F4">
        <w:rPr>
          <w:rFonts w:ascii="仿宋" w:eastAsia="仿宋" w:hAnsi="仿宋" w:cs="仿宋_GB2312" w:hint="eastAsia"/>
          <w:sz w:val="32"/>
          <w:szCs w:val="32"/>
        </w:rPr>
        <w:lastRenderedPageBreak/>
        <w:t>成熟、实用技术及科技成果数量1项；</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2.质量目标：科研成果验收合格率100%。</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2）满意度指标完成情况分析：参与农户满意情况及参与人员对科技工作的满意情况100%</w:t>
      </w:r>
    </w:p>
    <w:p w:rsidR="000F02F4" w:rsidRPr="000F02F4" w:rsidRDefault="000F02F4" w:rsidP="002E68C9">
      <w:pPr>
        <w:spacing w:afterLines="50" w:line="360" w:lineRule="auto"/>
        <w:ind w:firstLineChars="200" w:firstLine="643"/>
        <w:rPr>
          <w:rFonts w:ascii="仿宋" w:eastAsia="仿宋" w:hAnsi="仿宋" w:cs="仿宋_GB2312"/>
          <w:b/>
          <w:sz w:val="32"/>
          <w:szCs w:val="32"/>
        </w:rPr>
      </w:pPr>
      <w:r w:rsidRPr="000F02F4">
        <w:rPr>
          <w:rFonts w:ascii="仿宋" w:eastAsia="仿宋" w:hAnsi="仿宋" w:cs="仿宋_GB2312" w:hint="eastAsia"/>
          <w:b/>
          <w:sz w:val="32"/>
          <w:szCs w:val="32"/>
        </w:rPr>
        <w:t>二、绩效评价工作开展情况</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为使项目资金使用更精准，更好发挥作用，能取得预期效果，评价内容设置了绩效设置、项目管理、资金管理、预算执行率、产出与效益五项，其中产出指标设定了4个：数量目标、质量目标；满意度指标设定了服务对象满意度目标，在评价指标设定中比较合规。</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评价指标有细化、有量化，部分指标为定性指标不可量化。如产出指标细化为数量、质量目标可量化；服务对象满意度目标也可量化。</w:t>
      </w:r>
    </w:p>
    <w:p w:rsidR="000F02F4" w:rsidRPr="000F02F4" w:rsidRDefault="000F02F4" w:rsidP="002E68C9">
      <w:pPr>
        <w:spacing w:afterLines="50" w:line="360" w:lineRule="auto"/>
        <w:ind w:firstLineChars="200" w:firstLine="643"/>
        <w:rPr>
          <w:rFonts w:ascii="仿宋" w:eastAsia="仿宋" w:hAnsi="仿宋" w:cs="仿宋_GB2312"/>
          <w:b/>
          <w:sz w:val="32"/>
          <w:szCs w:val="32"/>
        </w:rPr>
      </w:pPr>
      <w:r w:rsidRPr="000F02F4">
        <w:rPr>
          <w:rFonts w:ascii="仿宋" w:eastAsia="仿宋" w:hAnsi="仿宋" w:cs="仿宋_GB2312" w:hint="eastAsia"/>
          <w:b/>
          <w:sz w:val="32"/>
          <w:szCs w:val="32"/>
        </w:rPr>
        <w:t>三、综合评价情况及评价结论</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项目的自评根据设计的自评指标体系，采用现场核验、查看内业等方法开展绩效自评，经评价，综合评价为86分，等级为优。</w:t>
      </w:r>
    </w:p>
    <w:p w:rsidR="000F02F4" w:rsidRPr="000F02F4" w:rsidRDefault="000F02F4" w:rsidP="002E68C9">
      <w:pPr>
        <w:spacing w:afterLines="50" w:line="360" w:lineRule="auto"/>
        <w:ind w:firstLineChars="200" w:firstLine="643"/>
        <w:rPr>
          <w:rFonts w:ascii="仿宋" w:eastAsia="仿宋" w:hAnsi="仿宋" w:cs="仿宋_GB2312"/>
          <w:b/>
          <w:sz w:val="32"/>
          <w:szCs w:val="32"/>
        </w:rPr>
      </w:pPr>
      <w:r w:rsidRPr="000F02F4">
        <w:rPr>
          <w:rFonts w:ascii="仿宋" w:eastAsia="仿宋" w:hAnsi="仿宋" w:cs="仿宋_GB2312" w:hint="eastAsia"/>
          <w:b/>
          <w:sz w:val="32"/>
          <w:szCs w:val="32"/>
        </w:rPr>
        <w:t>四、绩效评价指标分析</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（一）项目决策情况：绩效目标设置方面10分，绩效指标设置完整，但有些指标设置不恰当，得分9分。</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（二）项目过程情况：项目管理方面15分，项目能按</w:t>
      </w:r>
      <w:r w:rsidRPr="000F02F4">
        <w:rPr>
          <w:rFonts w:ascii="仿宋" w:eastAsia="仿宋" w:hAnsi="仿宋" w:cs="仿宋_GB2312" w:hint="eastAsia"/>
          <w:sz w:val="32"/>
          <w:szCs w:val="32"/>
        </w:rPr>
        <w:lastRenderedPageBreak/>
        <w:t>要求按时按规管理，得分15分；资金管理方面15分，资金合法合规使用，但未制定项目资金管理制度，得分12分。预算执行率10分，执行率0%，得0分。</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（三）项目产出情况：设置数量目标20分，目标指标值2项均为1，实际指标值均为1，实际得分20分；质量目标10分，目标指标值95%，实际指标值100%，得分10分。</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（四）满意度情况：满意度指标20分，目标指标值均为90%，实际指标值100%，得分20分。</w:t>
      </w:r>
    </w:p>
    <w:p w:rsidR="000F02F4" w:rsidRPr="000F02F4" w:rsidRDefault="000F02F4" w:rsidP="002E68C9">
      <w:pPr>
        <w:spacing w:afterLines="50" w:line="360" w:lineRule="auto"/>
        <w:ind w:firstLineChars="200" w:firstLine="643"/>
        <w:rPr>
          <w:rFonts w:ascii="仿宋" w:eastAsia="仿宋" w:hAnsi="仿宋" w:cs="仿宋_GB2312"/>
          <w:b/>
          <w:sz w:val="32"/>
          <w:szCs w:val="32"/>
        </w:rPr>
      </w:pPr>
      <w:r w:rsidRPr="000F02F4">
        <w:rPr>
          <w:rFonts w:ascii="仿宋" w:eastAsia="仿宋" w:hAnsi="仿宋" w:cs="仿宋_GB2312" w:hint="eastAsia"/>
          <w:b/>
          <w:sz w:val="32"/>
          <w:szCs w:val="32"/>
        </w:rPr>
        <w:t>五、主要经验及做法</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林业科技推广专项绩效评价工作中组织实施总体上较为规范，绩效人员分工明确，财务制度健全，重视项目资金的绩效。自评表内容较为完整，通过各项指标的设定，能较客观地反映该项目资金的具体用途，更好的提高了该资金的使用效益。</w:t>
      </w:r>
    </w:p>
    <w:p w:rsidR="000F02F4" w:rsidRPr="000F02F4" w:rsidRDefault="000F02F4" w:rsidP="002E68C9">
      <w:pPr>
        <w:spacing w:afterLines="50" w:line="360" w:lineRule="auto"/>
        <w:ind w:firstLineChars="200" w:firstLine="643"/>
        <w:rPr>
          <w:rFonts w:ascii="仿宋" w:eastAsia="仿宋" w:hAnsi="仿宋" w:cs="仿宋_GB2312"/>
          <w:b/>
          <w:sz w:val="32"/>
          <w:szCs w:val="32"/>
        </w:rPr>
      </w:pPr>
      <w:r w:rsidRPr="000F02F4">
        <w:rPr>
          <w:rFonts w:ascii="仿宋" w:eastAsia="仿宋" w:hAnsi="仿宋" w:cs="仿宋_GB2312" w:hint="eastAsia"/>
          <w:b/>
          <w:sz w:val="32"/>
          <w:szCs w:val="32"/>
        </w:rPr>
        <w:t>六、存在问题</w:t>
      </w:r>
    </w:p>
    <w:p w:rsidR="000F02F4" w:rsidRP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t>单位内部控制制度有待完善。尚未完善相关内部控制制度，对于内部科室管理没有全覆盖到各个业务科室，没有渗透到各个业务领域和各个操作环节，大多缺乏系统性和合理性。</w:t>
      </w:r>
    </w:p>
    <w:p w:rsidR="000F02F4" w:rsidRPr="000F02F4" w:rsidRDefault="000F02F4" w:rsidP="002E68C9">
      <w:pPr>
        <w:spacing w:afterLines="50" w:line="360" w:lineRule="auto"/>
        <w:ind w:firstLineChars="200" w:firstLine="643"/>
        <w:rPr>
          <w:rFonts w:ascii="仿宋" w:eastAsia="仿宋" w:hAnsi="仿宋" w:cs="仿宋_GB2312"/>
          <w:b/>
          <w:sz w:val="32"/>
          <w:szCs w:val="32"/>
        </w:rPr>
      </w:pPr>
      <w:r w:rsidRPr="000F02F4">
        <w:rPr>
          <w:rFonts w:ascii="仿宋" w:eastAsia="仿宋" w:hAnsi="仿宋" w:cs="仿宋_GB2312" w:hint="eastAsia"/>
          <w:b/>
          <w:sz w:val="32"/>
          <w:szCs w:val="32"/>
        </w:rPr>
        <w:t>七、有关建议</w:t>
      </w:r>
    </w:p>
    <w:p w:rsidR="000F02F4" w:rsidRDefault="000F02F4" w:rsidP="000F02F4">
      <w:pPr>
        <w:ind w:firstLineChars="200" w:firstLine="640"/>
        <w:rPr>
          <w:rFonts w:ascii="仿宋" w:eastAsia="仿宋" w:hAnsi="仿宋" w:cs="仿宋_GB2312"/>
          <w:sz w:val="32"/>
          <w:szCs w:val="32"/>
        </w:rPr>
      </w:pPr>
      <w:r w:rsidRPr="000F02F4">
        <w:rPr>
          <w:rFonts w:ascii="仿宋" w:eastAsia="仿宋" w:hAnsi="仿宋" w:cs="仿宋_GB2312" w:hint="eastAsia"/>
          <w:sz w:val="32"/>
          <w:szCs w:val="32"/>
        </w:rPr>
        <w:lastRenderedPageBreak/>
        <w:t>建立健全内部控制制度，经济责任制度等监督制度，完善资金管理办法。内部控制制度即关系到会计系统对部门单位经济活动反映的正确可靠性，又涉及到部门单位的财产物资的安全完整性。建立一套管理和控制本部门单位内部经济活动的内部控制系统，有助于提高部门单位财产物资的利用率，防范舞弊和腐败风险，保证会计信息质量的及时性和准确性，改善部门单位的财务管理现状。</w:t>
      </w:r>
    </w:p>
    <w:p w:rsidR="000F02F4" w:rsidRDefault="000F02F4" w:rsidP="000F02F4">
      <w:pPr>
        <w:ind w:firstLineChars="200" w:firstLine="640"/>
        <w:rPr>
          <w:rFonts w:ascii="仿宋" w:eastAsia="仿宋" w:hAnsi="仿宋" w:cs="仿宋_GB2312"/>
          <w:sz w:val="32"/>
          <w:szCs w:val="32"/>
        </w:rPr>
      </w:pPr>
    </w:p>
    <w:p w:rsidR="000F02F4" w:rsidRDefault="000F02F4" w:rsidP="000F02F4">
      <w:pPr>
        <w:ind w:firstLineChars="200" w:firstLine="640"/>
        <w:rPr>
          <w:rFonts w:ascii="仿宋" w:eastAsia="仿宋" w:hAnsi="仿宋" w:cs="仿宋_GB2312"/>
          <w:sz w:val="32"/>
          <w:szCs w:val="32"/>
        </w:rPr>
      </w:pPr>
    </w:p>
    <w:p w:rsidR="000F02F4" w:rsidRPr="000F02F4" w:rsidRDefault="000F02F4" w:rsidP="000F02F4">
      <w:pPr>
        <w:ind w:firstLineChars="200" w:firstLine="640"/>
        <w:rPr>
          <w:rFonts w:ascii="仿宋" w:eastAsia="仿宋" w:hAnsi="仿宋" w:cs="仿宋_GB2312"/>
          <w:sz w:val="32"/>
          <w:szCs w:val="32"/>
        </w:rPr>
      </w:pPr>
    </w:p>
    <w:p w:rsidR="00F62A37" w:rsidRPr="000F02F4" w:rsidRDefault="000F02F4" w:rsidP="000F02F4">
      <w:pPr>
        <w:ind w:firstLineChars="200" w:firstLine="640"/>
        <w:jc w:val="right"/>
        <w:rPr>
          <w:rFonts w:ascii="仿宋" w:eastAsia="仿宋" w:hAnsi="仿宋" w:cs="仿宋_GB2312"/>
          <w:sz w:val="32"/>
          <w:szCs w:val="32"/>
        </w:rPr>
      </w:pPr>
      <w:r w:rsidRPr="000F02F4">
        <w:rPr>
          <w:rFonts w:ascii="仿宋" w:eastAsia="仿宋" w:hAnsi="仿宋" w:cs="仿宋_GB2312" w:hint="eastAsia"/>
          <w:sz w:val="32"/>
          <w:szCs w:val="32"/>
        </w:rPr>
        <w:t>永安市林业局</w:t>
      </w:r>
    </w:p>
    <w:p w:rsidR="000F02F4" w:rsidRPr="000F02F4" w:rsidRDefault="000F02F4" w:rsidP="000F02F4">
      <w:pPr>
        <w:ind w:firstLineChars="200" w:firstLine="640"/>
        <w:jc w:val="right"/>
        <w:rPr>
          <w:rFonts w:ascii="仿宋" w:eastAsia="仿宋" w:hAnsi="仿宋" w:cs="仿宋_GB2312"/>
          <w:sz w:val="32"/>
          <w:szCs w:val="32"/>
        </w:rPr>
      </w:pPr>
      <w:r w:rsidRPr="000F02F4">
        <w:rPr>
          <w:rFonts w:ascii="仿宋" w:eastAsia="仿宋" w:hAnsi="仿宋" w:cs="仿宋_GB2312" w:hint="eastAsia"/>
          <w:sz w:val="32"/>
          <w:szCs w:val="32"/>
        </w:rPr>
        <w:t>2023年3月7日</w:t>
      </w:r>
    </w:p>
    <w:sectPr w:rsidR="000F02F4" w:rsidRPr="000F02F4" w:rsidSect="004077E5">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416" w:rsidRDefault="00594416" w:rsidP="00140BF4">
      <w:r>
        <w:separator/>
      </w:r>
    </w:p>
  </w:endnote>
  <w:endnote w:type="continuationSeparator" w:id="1">
    <w:p w:rsidR="00594416" w:rsidRDefault="00594416" w:rsidP="00140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auto"/>
    <w:pitch w:val="default"/>
    <w:sig w:usb0="00000000" w:usb1="08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ESI楷体-GB2312">
    <w:altName w:val="微软雅黑"/>
    <w:charset w:val="86"/>
    <w:family w:val="auto"/>
    <w:pitch w:val="default"/>
    <w:sig w:usb0="00000000" w:usb1="184F6CF8" w:usb2="00000012"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416" w:rsidRDefault="00594416" w:rsidP="00140BF4">
      <w:r>
        <w:separator/>
      </w:r>
    </w:p>
  </w:footnote>
  <w:footnote w:type="continuationSeparator" w:id="1">
    <w:p w:rsidR="00594416" w:rsidRDefault="00594416" w:rsidP="00140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1FA0"/>
    <w:multiLevelType w:val="singleLevel"/>
    <w:tmpl w:val="1B8D1FA0"/>
    <w:lvl w:ilvl="0">
      <w:start w:val="3"/>
      <w:numFmt w:val="chineseCounting"/>
      <w:suff w:val="nothing"/>
      <w:lvlText w:val="%1、"/>
      <w:lvlJc w:val="left"/>
      <w:rPr>
        <w:rFonts w:hint="eastAsia"/>
      </w:rPr>
    </w:lvl>
  </w:abstractNum>
  <w:abstractNum w:abstractNumId="1">
    <w:nsid w:val="34C22AE9"/>
    <w:multiLevelType w:val="hybridMultilevel"/>
    <w:tmpl w:val="A17A2C38"/>
    <w:lvl w:ilvl="0" w:tplc="F2C62602">
      <w:start w:val="1"/>
      <w:numFmt w:val="japaneseCounting"/>
      <w:lvlText w:val="（%1）"/>
      <w:lvlJc w:val="left"/>
      <w:pPr>
        <w:ind w:left="1720" w:hanging="1080"/>
      </w:pPr>
      <w:rPr>
        <w:rFonts w:cs="方正黑体_GBK"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5031EEE"/>
    <w:multiLevelType w:val="hybridMultilevel"/>
    <w:tmpl w:val="E15C2108"/>
    <w:lvl w:ilvl="0" w:tplc="2AD6A52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7D96E0A"/>
    <w:multiLevelType w:val="singleLevel"/>
    <w:tmpl w:val="57D96E0A"/>
    <w:lvl w:ilvl="0">
      <w:start w:val="6"/>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13314"/>
  </w:hdrShapeDefaults>
  <w:footnotePr>
    <w:footnote w:id="0"/>
    <w:footnote w:id="1"/>
  </w:footnotePr>
  <w:endnotePr>
    <w:endnote w:id="0"/>
    <w:endnote w:id="1"/>
  </w:endnotePr>
  <w:compat>
    <w:useFELayout/>
    <w:splitPgBreakAndParaMark/>
  </w:compat>
  <w:rsids>
    <w:rsidRoot w:val="004077E5"/>
    <w:rsid w:val="E7DDBE4E"/>
    <w:rsid w:val="00034952"/>
    <w:rsid w:val="0008060D"/>
    <w:rsid w:val="000D63D2"/>
    <w:rsid w:val="000F02F4"/>
    <w:rsid w:val="00140BF4"/>
    <w:rsid w:val="002E68C9"/>
    <w:rsid w:val="002F781F"/>
    <w:rsid w:val="004077E5"/>
    <w:rsid w:val="00413B61"/>
    <w:rsid w:val="00587674"/>
    <w:rsid w:val="00594416"/>
    <w:rsid w:val="005E1C42"/>
    <w:rsid w:val="006217F1"/>
    <w:rsid w:val="0084732D"/>
    <w:rsid w:val="009E1286"/>
    <w:rsid w:val="00A8057F"/>
    <w:rsid w:val="00AC26AB"/>
    <w:rsid w:val="00B9011F"/>
    <w:rsid w:val="00C0294F"/>
    <w:rsid w:val="00CC3EA1"/>
    <w:rsid w:val="00D51E94"/>
    <w:rsid w:val="00E87D22"/>
    <w:rsid w:val="00F62A37"/>
    <w:rsid w:val="09654B91"/>
    <w:rsid w:val="0D687620"/>
    <w:rsid w:val="106B45D8"/>
    <w:rsid w:val="1352573F"/>
    <w:rsid w:val="1D842C96"/>
    <w:rsid w:val="1E7C04CA"/>
    <w:rsid w:val="1FBE99DD"/>
    <w:rsid w:val="23A73351"/>
    <w:rsid w:val="27D11497"/>
    <w:rsid w:val="30EC5EE8"/>
    <w:rsid w:val="3EF80539"/>
    <w:rsid w:val="4A765644"/>
    <w:rsid w:val="4ABC3110"/>
    <w:rsid w:val="4C794B15"/>
    <w:rsid w:val="52BA2D4E"/>
    <w:rsid w:val="53BD416B"/>
    <w:rsid w:val="5DDD4D56"/>
    <w:rsid w:val="68393307"/>
    <w:rsid w:val="69E83787"/>
    <w:rsid w:val="7F7C241B"/>
    <w:rsid w:val="7FE597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7E5"/>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0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0BF4"/>
    <w:rPr>
      <w:sz w:val="18"/>
      <w:szCs w:val="18"/>
    </w:rPr>
  </w:style>
  <w:style w:type="paragraph" w:styleId="a4">
    <w:name w:val="footer"/>
    <w:basedOn w:val="a"/>
    <w:link w:val="Char0"/>
    <w:rsid w:val="00140BF4"/>
    <w:pPr>
      <w:tabs>
        <w:tab w:val="center" w:pos="4153"/>
        <w:tab w:val="right" w:pos="8306"/>
      </w:tabs>
      <w:snapToGrid w:val="0"/>
      <w:jc w:val="left"/>
    </w:pPr>
    <w:rPr>
      <w:sz w:val="18"/>
      <w:szCs w:val="18"/>
    </w:rPr>
  </w:style>
  <w:style w:type="character" w:customStyle="1" w:styleId="Char0">
    <w:name w:val="页脚 Char"/>
    <w:basedOn w:val="a0"/>
    <w:link w:val="a4"/>
    <w:rsid w:val="00140BF4"/>
    <w:rPr>
      <w:sz w:val="18"/>
      <w:szCs w:val="18"/>
    </w:rPr>
  </w:style>
  <w:style w:type="paragraph" w:styleId="a5">
    <w:name w:val="Body Text Indent"/>
    <w:basedOn w:val="a"/>
    <w:link w:val="Char1"/>
    <w:qFormat/>
    <w:rsid w:val="000D63D2"/>
    <w:pPr>
      <w:ind w:firstLineChars="257" w:firstLine="540"/>
    </w:pPr>
  </w:style>
  <w:style w:type="character" w:customStyle="1" w:styleId="Char1">
    <w:name w:val="正文文本缩进 Char"/>
    <w:basedOn w:val="a0"/>
    <w:link w:val="a5"/>
    <w:rsid w:val="000D63D2"/>
    <w:rPr>
      <w:sz w:val="21"/>
      <w:szCs w:val="22"/>
    </w:rPr>
  </w:style>
  <w:style w:type="paragraph" w:styleId="a6">
    <w:name w:val="List Paragraph"/>
    <w:basedOn w:val="a"/>
    <w:uiPriority w:val="99"/>
    <w:unhideWhenUsed/>
    <w:rsid w:val="00F62A37"/>
    <w:pPr>
      <w:ind w:firstLineChars="200" w:firstLine="420"/>
    </w:pPr>
  </w:style>
  <w:style w:type="paragraph" w:styleId="a7">
    <w:name w:val="Balloon Text"/>
    <w:basedOn w:val="a"/>
    <w:next w:val="a"/>
    <w:link w:val="Char2"/>
    <w:rsid w:val="00F62A37"/>
    <w:rPr>
      <w:rFonts w:ascii="Times New Roman" w:eastAsia="宋体" w:hAnsi="Times New Roman" w:cs="Times New Roman"/>
      <w:kern w:val="2"/>
      <w:sz w:val="18"/>
      <w:szCs w:val="18"/>
    </w:rPr>
  </w:style>
  <w:style w:type="character" w:customStyle="1" w:styleId="Char2">
    <w:name w:val="批注框文本 Char"/>
    <w:basedOn w:val="a0"/>
    <w:link w:val="a7"/>
    <w:rsid w:val="00F62A3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697727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cp:lastModifiedBy>
  <cp:revision>10</cp:revision>
  <dcterms:created xsi:type="dcterms:W3CDTF">2023-03-07T04:08:00Z</dcterms:created>
  <dcterms:modified xsi:type="dcterms:W3CDTF">2023-03-08T01:39:00Z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